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700C06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</w:t>
      </w:r>
      <w:r w:rsidR="00700C06">
        <w:rPr>
          <w:rFonts w:ascii="Arial" w:hAnsi="Arial" w:cs="Arial"/>
          <w:b/>
          <w:sz w:val="20"/>
        </w:rPr>
        <w:t>RESÍDUOS OLEOSOS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Pr="007258CC" w:rsidRDefault="00501F09" w:rsidP="00501F09">
      <w:pPr>
        <w:jc w:val="center"/>
        <w:rPr>
          <w:rFonts w:ascii="Arial" w:hAnsi="Arial" w:cs="Arial"/>
          <w:b/>
          <w:sz w:val="16"/>
          <w:szCs w:val="16"/>
        </w:rPr>
      </w:pPr>
    </w:p>
    <w:p w:rsidR="00501F09" w:rsidRPr="007258CC" w:rsidRDefault="00501F09" w:rsidP="00501F09">
      <w:pPr>
        <w:jc w:val="both"/>
        <w:rPr>
          <w:rFonts w:ascii="Arial" w:hAnsi="Arial" w:cs="Arial"/>
          <w:b/>
          <w:sz w:val="16"/>
          <w:szCs w:val="16"/>
        </w:rPr>
        <w:sectPr w:rsidR="00501F09" w:rsidRPr="007258CC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427919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Visando a participação em alienações futuras </w:t>
      </w:r>
      <w:r w:rsidRPr="00E41CA3">
        <w:rPr>
          <w:rFonts w:ascii="Arial" w:hAnsi="Arial" w:cs="Arial"/>
          <w:sz w:val="16"/>
          <w:szCs w:val="16"/>
        </w:rPr>
        <w:t>de</w:t>
      </w:r>
      <w:r w:rsidR="00E41CA3" w:rsidRPr="00E41CA3">
        <w:t xml:space="preserve"> </w:t>
      </w:r>
      <w:r w:rsidR="00E41CA3" w:rsidRPr="00E41CA3">
        <w:rPr>
          <w:rFonts w:ascii="Arial" w:hAnsi="Arial" w:cs="Arial"/>
          <w:sz w:val="16"/>
          <w:szCs w:val="16"/>
        </w:rPr>
        <w:t xml:space="preserve">resíduos oleosos </w:t>
      </w:r>
      <w:r w:rsidR="00E41CA3" w:rsidRPr="00427919">
        <w:rPr>
          <w:rFonts w:ascii="Arial" w:hAnsi="Arial" w:cs="Arial"/>
          <w:sz w:val="16"/>
          <w:szCs w:val="16"/>
        </w:rPr>
        <w:t xml:space="preserve">diversos </w:t>
      </w:r>
      <w:r w:rsidRPr="00427919">
        <w:rPr>
          <w:rFonts w:ascii="Arial" w:hAnsi="Arial" w:cs="Arial"/>
          <w:sz w:val="16"/>
          <w:szCs w:val="16"/>
        </w:rPr>
        <w:t>d</w:t>
      </w:r>
      <w:r w:rsidR="004E384C" w:rsidRPr="00427919">
        <w:rPr>
          <w:rFonts w:ascii="Arial" w:hAnsi="Arial" w:cs="Arial"/>
          <w:sz w:val="16"/>
          <w:szCs w:val="16"/>
        </w:rPr>
        <w:t>eclaramos</w:t>
      </w:r>
      <w:r w:rsidR="00032DA3" w:rsidRPr="00427919">
        <w:rPr>
          <w:rFonts w:ascii="Arial" w:hAnsi="Arial" w:cs="Arial"/>
          <w:sz w:val="16"/>
          <w:szCs w:val="16"/>
        </w:rPr>
        <w:t xml:space="preserve"> que:</w:t>
      </w:r>
    </w:p>
    <w:p w:rsidR="004E384C" w:rsidRPr="00427919" w:rsidRDefault="004E384C" w:rsidP="00735E4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 xml:space="preserve">Nos enquadramos na condição de </w:t>
      </w:r>
      <w:r w:rsidR="00700C06" w:rsidRPr="00427919">
        <w:rPr>
          <w:rFonts w:ascii="Arial" w:hAnsi="Arial" w:cs="Arial"/>
          <w:b/>
          <w:sz w:val="16"/>
          <w:szCs w:val="16"/>
        </w:rPr>
        <w:t>Empresa</w:t>
      </w:r>
      <w:r w:rsidR="00700C06" w:rsidRPr="00427919">
        <w:rPr>
          <w:rFonts w:ascii="Arial" w:hAnsi="Arial" w:cs="Arial"/>
          <w:b/>
          <w:strike/>
          <w:sz w:val="16"/>
          <w:szCs w:val="16"/>
        </w:rPr>
        <w:t xml:space="preserve"> </w:t>
      </w:r>
      <w:r w:rsidR="00E41CA3" w:rsidRPr="00427919">
        <w:rPr>
          <w:rFonts w:ascii="Arial" w:hAnsi="Arial" w:cs="Arial"/>
          <w:b/>
          <w:sz w:val="16"/>
          <w:szCs w:val="16"/>
        </w:rPr>
        <w:t>de r</w:t>
      </w:r>
      <w:r w:rsidR="00735E45" w:rsidRPr="00427919">
        <w:rPr>
          <w:rFonts w:ascii="Arial" w:hAnsi="Arial" w:cs="Arial"/>
          <w:b/>
          <w:sz w:val="16"/>
          <w:szCs w:val="16"/>
        </w:rPr>
        <w:t xml:space="preserve">errefino de óleos usados </w:t>
      </w:r>
      <w:r w:rsidR="00700C06" w:rsidRPr="00427919">
        <w:rPr>
          <w:rFonts w:ascii="Arial" w:hAnsi="Arial" w:cs="Arial"/>
          <w:b/>
          <w:sz w:val="16"/>
          <w:szCs w:val="16"/>
        </w:rPr>
        <w:t>ou contaminados regularmente cadastrada na ANP</w:t>
      </w:r>
      <w:r w:rsidR="004B194A" w:rsidRPr="00427919">
        <w:rPr>
          <w:rFonts w:ascii="Arial" w:hAnsi="Arial" w:cs="Arial"/>
          <w:b/>
          <w:sz w:val="16"/>
          <w:szCs w:val="16"/>
        </w:rPr>
        <w:t xml:space="preserve">, </w:t>
      </w:r>
      <w:r w:rsidR="004B194A" w:rsidRPr="00427919">
        <w:rPr>
          <w:rFonts w:ascii="Arial" w:hAnsi="Arial" w:cs="Arial"/>
          <w:sz w:val="14"/>
          <w:szCs w:val="15"/>
        </w:rPr>
        <w:t>com licença de operação validada e especifica para essa atividade, obtida junto aos órgãos ambientais competentes;</w:t>
      </w:r>
      <w:r w:rsidR="004B194A" w:rsidRPr="00427919">
        <w:rPr>
          <w:rFonts w:ascii="Arial" w:hAnsi="Arial" w:cs="Arial"/>
          <w:b/>
          <w:sz w:val="16"/>
          <w:szCs w:val="16"/>
        </w:rPr>
        <w:t xml:space="preserve"> </w:t>
      </w:r>
      <w:r w:rsidR="00700C06" w:rsidRPr="00427919">
        <w:rPr>
          <w:rFonts w:ascii="Arial" w:hAnsi="Arial" w:cs="Arial"/>
          <w:sz w:val="16"/>
          <w:szCs w:val="16"/>
        </w:rPr>
        <w:t>.</w:t>
      </w:r>
    </w:p>
    <w:p w:rsidR="00700C06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Coletaremos os resíduos oleosos diversos através de sistema de sucção, prioritariamente nos transformadores e demais equipamentos do sistema elétrico de potência, e também nos tanques existentes na Central de Óleo do Centro de Distribuição Avançado de Igarapé. Os resíduos oleosos poderão ser entregues em tambores, de acordo com a conveniência da CEMIG;</w:t>
      </w:r>
    </w:p>
    <w:p w:rsidR="00700C06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Emitiremos no ato da retirada, conf. art. 393, anexo 9 do RICMS/02,</w:t>
      </w:r>
      <w:r w:rsidR="007258CC" w:rsidRPr="00427919">
        <w:rPr>
          <w:rFonts w:ascii="Arial" w:hAnsi="Arial" w:cs="Arial"/>
          <w:sz w:val="16"/>
          <w:szCs w:val="16"/>
        </w:rPr>
        <w:t xml:space="preserve"> em substituição à nota fiscal </w:t>
      </w:r>
      <w:r w:rsidRPr="00427919">
        <w:rPr>
          <w:rFonts w:ascii="Arial" w:hAnsi="Arial" w:cs="Arial"/>
          <w:sz w:val="16"/>
          <w:szCs w:val="16"/>
        </w:rPr>
        <w:t>modelo 1 ou 1a, os Certificados de Coleta de Óleo, previsto no art. 4º, inciso i, da portaria ANP 127, de 30/06/19</w:t>
      </w:r>
    </w:p>
    <w:p w:rsidR="00700C06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 xml:space="preserve">Providenciaremos e manteremos disponível para realização dos trabalhos no Centro de Distribuição Avançado de Igarapé, sem ônus para a CEMIG, a seguinte estrutura mínima: </w:t>
      </w:r>
    </w:p>
    <w:p w:rsidR="00700C06" w:rsidRPr="00427919" w:rsidRDefault="00700C06" w:rsidP="00700C0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01 empilhadeira com adaptador para lança e estropos, operador treinado e certificado, conforme exigências da NR-11- Transporte, Movimentação, Armazenagem e Manuseio de Materiais, para movimentação dos transformadores de distribuição e demais equipamentos do sistema elétrico que terão seu óleo coletado;</w:t>
      </w:r>
    </w:p>
    <w:p w:rsidR="00700C06" w:rsidRPr="00427919" w:rsidRDefault="00700C06" w:rsidP="00700C0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0</w:t>
      </w:r>
      <w:r w:rsidR="00E41CA3" w:rsidRPr="00427919">
        <w:rPr>
          <w:rFonts w:ascii="Arial" w:hAnsi="Arial" w:cs="Arial"/>
          <w:sz w:val="16"/>
          <w:szCs w:val="16"/>
        </w:rPr>
        <w:t>3</w:t>
      </w:r>
      <w:r w:rsidRPr="00427919">
        <w:rPr>
          <w:rFonts w:ascii="Arial" w:hAnsi="Arial" w:cs="Arial"/>
          <w:sz w:val="16"/>
          <w:szCs w:val="16"/>
        </w:rPr>
        <w:t xml:space="preserve"> empregados e 01</w:t>
      </w:r>
      <w:r w:rsidR="007258CC" w:rsidRPr="00427919">
        <w:rPr>
          <w:rFonts w:ascii="Arial" w:hAnsi="Arial" w:cs="Arial"/>
          <w:sz w:val="16"/>
          <w:szCs w:val="16"/>
        </w:rPr>
        <w:t xml:space="preserve"> </w:t>
      </w:r>
      <w:r w:rsidRPr="00427919">
        <w:rPr>
          <w:rFonts w:ascii="Arial" w:hAnsi="Arial" w:cs="Arial"/>
          <w:sz w:val="16"/>
          <w:szCs w:val="16"/>
        </w:rPr>
        <w:t>supervisor treinados e capacitados para execução dos trabalhos;</w:t>
      </w:r>
    </w:p>
    <w:p w:rsidR="00700C06" w:rsidRPr="00427919" w:rsidRDefault="00700C06" w:rsidP="00700C0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02 bombas de engrenagem e ferramental para abertura dos equipamentos;</w:t>
      </w:r>
    </w:p>
    <w:p w:rsidR="00700C06" w:rsidRPr="00427919" w:rsidRDefault="00700C06" w:rsidP="00700C0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01 caminhão tanque de 30.000 litros para armazenamento e transporte do óleo.</w:t>
      </w:r>
    </w:p>
    <w:p w:rsidR="00735E45" w:rsidRPr="00427919" w:rsidRDefault="00735E45" w:rsidP="00735E4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 xml:space="preserve">Nos responsabilizamos pela segurança e destinação correta dos resíduos </w:t>
      </w:r>
      <w:r w:rsidR="0097394C" w:rsidRPr="00427919">
        <w:rPr>
          <w:rFonts w:ascii="Arial" w:hAnsi="Arial" w:cs="Arial"/>
          <w:sz w:val="16"/>
          <w:szCs w:val="16"/>
        </w:rPr>
        <w:t xml:space="preserve">de embalagens e </w:t>
      </w:r>
      <w:r w:rsidRPr="00427919">
        <w:rPr>
          <w:rFonts w:ascii="Arial" w:hAnsi="Arial" w:cs="Arial"/>
          <w:sz w:val="16"/>
          <w:szCs w:val="16"/>
        </w:rPr>
        <w:t>do processo de rerefino, comprometendo com o atendimento à Resolução CONAMA 401, de 04 de novembro de 2008, assumindo todos e quaisquer ônus referentes ao acompanhamento e fiscalização das atividades realizadas, assim como multas e processos de responsabilidade civil e penal pelo seu não cumprimento;</w:t>
      </w:r>
    </w:p>
    <w:p w:rsidR="00735E45" w:rsidRPr="00427919" w:rsidRDefault="00735E45" w:rsidP="00735E4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O Transporte de Produtos e Resíduos Perigosos Classe I acontecerá de acordo com a legislação vigente, em especial a Resolução ANTT n° 5.232/ 2016 e Lei Estadual n° 22.805/2017 e decretos regulamentadores;</w:t>
      </w:r>
    </w:p>
    <w:p w:rsidR="00735E45" w:rsidRPr="00427919" w:rsidRDefault="00735E45" w:rsidP="00735E4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Apresentaremos à Cemig</w:t>
      </w:r>
      <w:r w:rsidR="00D30E42" w:rsidRPr="00427919">
        <w:rPr>
          <w:rFonts w:ascii="Arial" w:hAnsi="Arial" w:cs="Arial"/>
          <w:sz w:val="16"/>
          <w:szCs w:val="16"/>
        </w:rPr>
        <w:t>, periodicamente,</w:t>
      </w:r>
      <w:r w:rsidRPr="00427919">
        <w:rPr>
          <w:rFonts w:ascii="Arial" w:hAnsi="Arial" w:cs="Arial"/>
          <w:sz w:val="16"/>
          <w:szCs w:val="16"/>
        </w:rPr>
        <w:t xml:space="preserve"> o Certificado de </w:t>
      </w:r>
      <w:r w:rsidR="0097394C" w:rsidRPr="00427919">
        <w:rPr>
          <w:rFonts w:ascii="Arial" w:hAnsi="Arial" w:cs="Arial"/>
          <w:sz w:val="16"/>
          <w:szCs w:val="16"/>
        </w:rPr>
        <w:t>rerefino referente ao resíduo oleoso</w:t>
      </w:r>
      <w:r w:rsidRPr="00427919">
        <w:rPr>
          <w:rFonts w:ascii="Arial" w:hAnsi="Arial" w:cs="Arial"/>
          <w:sz w:val="16"/>
          <w:szCs w:val="16"/>
        </w:rPr>
        <w:t xml:space="preserve">. </w:t>
      </w:r>
      <w:r w:rsidRPr="00427919">
        <w:rPr>
          <w:rFonts w:ascii="Arial" w:hAnsi="Arial" w:cs="Arial"/>
          <w:sz w:val="16"/>
          <w:szCs w:val="16"/>
        </w:rPr>
        <w:tab/>
      </w:r>
    </w:p>
    <w:p w:rsidR="00735E45" w:rsidRPr="00427919" w:rsidRDefault="00735E45" w:rsidP="00735E4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 xml:space="preserve">Para retirada </w:t>
      </w:r>
      <w:r w:rsidR="0097394C" w:rsidRPr="00427919">
        <w:rPr>
          <w:rFonts w:ascii="Arial" w:hAnsi="Arial" w:cs="Arial"/>
          <w:sz w:val="16"/>
          <w:szCs w:val="16"/>
        </w:rPr>
        <w:t>do resíduo oleoso</w:t>
      </w:r>
      <w:r w:rsidRPr="00427919">
        <w:rPr>
          <w:rFonts w:ascii="Arial" w:hAnsi="Arial" w:cs="Arial"/>
          <w:sz w:val="16"/>
          <w:szCs w:val="16"/>
        </w:rPr>
        <w:t>, apresentaremos a documentação listada abaixo, referente ao transportador da carga: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Licença de Operação para Transporte de Produtos e Resíduos Perigosos Classe I, caso seja transportado apenas dentro do estado de Minas Gerais;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Autorização Ambiental para Transporte de Produtos Perigosos emitido pelo IBAMA, caso seja transportado para outro estado da federação;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Certificado de Registro e Licenciamento do Veículo – CRLV;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Certificado de Inspeção Veicular - CIV emitido pelo Inmetro;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Certificado de Inspeção para Transporte de Produtos perigosos – CIPP emitido pelo Inmetro;</w:t>
      </w:r>
    </w:p>
    <w:p w:rsidR="00735E45" w:rsidRPr="00427919" w:rsidRDefault="00735E45" w:rsidP="00735E4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CNH do motorista com respectivo curso MOPP - Movimentação Operacional de Produtos Perigosos ou TPP Transporte de Produtos Perigosos.</w:t>
      </w:r>
    </w:p>
    <w:p w:rsidR="00735E45" w:rsidRPr="00427919" w:rsidRDefault="00735E45" w:rsidP="00735E45">
      <w:pPr>
        <w:pStyle w:val="PargrafodaLista"/>
        <w:ind w:left="1440"/>
        <w:jc w:val="both"/>
        <w:rPr>
          <w:rFonts w:ascii="Arial" w:hAnsi="Arial" w:cs="Arial"/>
          <w:sz w:val="16"/>
          <w:szCs w:val="16"/>
        </w:rPr>
      </w:pPr>
    </w:p>
    <w:p w:rsidR="00032DA3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 xml:space="preserve">Faremos a retirada dos resíduos oleosos, inclusive coletas em outras Unidade de Negócio da Cemig, responsabilizando-nos pela sua qualidade, segurança e destinação correta, observando a legislação ambiental vigente e assumindo todos e quaisquer ônus referentes ao acompanhamento e fiscalização das atividades realizadas, assim como multas e </w:t>
      </w:r>
      <w:r w:rsidRPr="00427919">
        <w:rPr>
          <w:rFonts w:ascii="Arial" w:hAnsi="Arial" w:cs="Arial"/>
          <w:sz w:val="16"/>
          <w:szCs w:val="16"/>
        </w:rPr>
        <w:t>processos de responsabilidade civil e penal pelo seu não cumprimento;</w:t>
      </w:r>
    </w:p>
    <w:p w:rsidR="00700C06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Nos responsabilizar</w:t>
      </w:r>
      <w:r w:rsidR="00D13798" w:rsidRPr="00427919">
        <w:rPr>
          <w:rFonts w:ascii="Arial" w:hAnsi="Arial" w:cs="Arial"/>
          <w:sz w:val="16"/>
          <w:szCs w:val="16"/>
        </w:rPr>
        <w:t>emos</w:t>
      </w:r>
      <w:r w:rsidRPr="00427919">
        <w:rPr>
          <w:rFonts w:ascii="Arial" w:hAnsi="Arial" w:cs="Arial"/>
          <w:sz w:val="16"/>
          <w:szCs w:val="16"/>
        </w:rPr>
        <w:t xml:space="preserve"> por todo e qualquer evento ocorrido com os resíduos após a sua entrega pela CEMIG;</w:t>
      </w:r>
    </w:p>
    <w:p w:rsidR="00700C06" w:rsidRPr="00427919" w:rsidRDefault="00700C06" w:rsidP="00700C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Observaremos os termos da Resolução CONAMA nº 362, de 23/06/2005, alterada pela Resolução CONAMA nº 450, de 06/03/2012, que dispõe sobre o recolhimento, coleta e destinação final de óleo lubrificante usado ou contaminado, editadas pela Associação Brasileira de Normas Técnicas – ABNT sobre gestão de resíduos e produtos perigosos, isentando a CEMIG de qualquer responsabilidade na eventual inobservância das referidas normas;</w:t>
      </w:r>
    </w:p>
    <w:p w:rsidR="00FC499F" w:rsidRPr="00427919" w:rsidRDefault="00FC499F" w:rsidP="00FC499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Garantiremos que a equipe responsável pela remoção dos recipientes contendo resíduos oleosos utilize, no mínimo, os seguintes EPIs: calçado de segurança, luva de vaqueta para trabalhos leves, luva impermeável para produtos agressivos, avental impermeável, óculos de proteção e capacete com jugular – todos com Certificado de Aprovação – CA;</w:t>
      </w:r>
    </w:p>
    <w:p w:rsidR="00FC499F" w:rsidRPr="00427919" w:rsidRDefault="00FC499F" w:rsidP="00FC499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Garantiremos que o MTRP - Manifesto para Transporte de Resíduo Perigoso - correspondente a cada carregamento seja apresentado, assinado e carimbado pelo recebedor, à MS/LA, no máximo, 15 (quinze) dias úteis após cada retirada.</w:t>
      </w:r>
    </w:p>
    <w:p w:rsidR="00574625" w:rsidRPr="00427919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427919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427919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427919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Nos responsabilizaremos por qualquer acidente ou ônus decorrente do transporte e manuseio inadequado dos resíduos, bem como de todas as despesas daí decorrentes;</w:t>
      </w:r>
    </w:p>
    <w:p w:rsidR="00032DA3" w:rsidRPr="0042791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032DA3" w:rsidRPr="00427919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7258CC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7258CC">
        <w:rPr>
          <w:rFonts w:ascii="Arial" w:hAnsi="Arial" w:cs="Arial"/>
          <w:sz w:val="16"/>
          <w:szCs w:val="16"/>
        </w:rPr>
        <w:t>obedecer aos</w:t>
      </w:r>
      <w:r w:rsidRPr="007258CC">
        <w:rPr>
          <w:rFonts w:ascii="Arial" w:hAnsi="Arial" w:cs="Arial"/>
          <w:sz w:val="16"/>
          <w:szCs w:val="16"/>
        </w:rPr>
        <w:t xml:space="preserve"> procedimentos, requisitos e competências estabelecidos em </w:t>
      </w:r>
      <w:r w:rsidR="00501F09" w:rsidRPr="007258CC">
        <w:rPr>
          <w:rFonts w:ascii="Arial" w:hAnsi="Arial" w:cs="Arial"/>
          <w:sz w:val="16"/>
          <w:szCs w:val="16"/>
        </w:rPr>
        <w:t>procedimentos da</w:t>
      </w:r>
      <w:r w:rsidRPr="007258CC">
        <w:rPr>
          <w:rFonts w:ascii="Arial" w:hAnsi="Arial" w:cs="Arial"/>
          <w:sz w:val="16"/>
          <w:szCs w:val="16"/>
        </w:rPr>
        <w:t xml:space="preserve"> CEMIG e somente será permitida desde que não importe em substancial parcela do objeto do contrato;</w:t>
      </w:r>
    </w:p>
    <w:p w:rsidR="00536891" w:rsidRPr="007258CC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Nos r</w:t>
      </w:r>
      <w:r w:rsidR="00536891" w:rsidRPr="007258CC">
        <w:rPr>
          <w:rFonts w:ascii="Arial" w:hAnsi="Arial" w:cs="Arial"/>
          <w:sz w:val="16"/>
          <w:szCs w:val="16"/>
        </w:rPr>
        <w:t>e</w:t>
      </w:r>
      <w:r w:rsidRPr="007258CC">
        <w:rPr>
          <w:rFonts w:ascii="Arial" w:hAnsi="Arial" w:cs="Arial"/>
          <w:sz w:val="16"/>
          <w:szCs w:val="16"/>
        </w:rPr>
        <w:t>sponsabilizaremos pela segurança</w:t>
      </w:r>
      <w:r w:rsidR="00536891" w:rsidRPr="007258CC">
        <w:rPr>
          <w:rFonts w:ascii="Arial" w:hAnsi="Arial" w:cs="Arial"/>
          <w:sz w:val="16"/>
          <w:szCs w:val="16"/>
        </w:rPr>
        <w:t xml:space="preserve"> </w:t>
      </w:r>
      <w:r w:rsidR="000B091E" w:rsidRPr="007258CC">
        <w:rPr>
          <w:rFonts w:ascii="Arial" w:hAnsi="Arial" w:cs="Arial"/>
          <w:sz w:val="16"/>
          <w:szCs w:val="16"/>
        </w:rPr>
        <w:t>da</w:t>
      </w:r>
      <w:r w:rsidR="00536891" w:rsidRPr="007258CC">
        <w:rPr>
          <w:rFonts w:ascii="Arial" w:hAnsi="Arial" w:cs="Arial"/>
          <w:sz w:val="16"/>
          <w:szCs w:val="16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7258CC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7258CC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Nos responsabilizaremos pela qualidade, segurança e destinação correta da sucata e resíduos advindos da </w:t>
      </w:r>
      <w:r w:rsidRPr="007258CC">
        <w:rPr>
          <w:rFonts w:ascii="Arial" w:hAnsi="Arial" w:cs="Arial"/>
          <w:sz w:val="16"/>
          <w:szCs w:val="16"/>
        </w:rPr>
        <w:lastRenderedPageBreak/>
        <w:t>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7258CC" w:rsidRPr="007258CC" w:rsidRDefault="007258CC" w:rsidP="007258CC">
      <w:pPr>
        <w:jc w:val="both"/>
        <w:rPr>
          <w:rFonts w:ascii="Arial" w:hAnsi="Arial" w:cs="Arial"/>
          <w:sz w:val="16"/>
          <w:szCs w:val="16"/>
        </w:rPr>
      </w:pPr>
    </w:p>
    <w:p w:rsidR="007258CC" w:rsidRPr="007258CC" w:rsidRDefault="007258CC" w:rsidP="007258CC">
      <w:p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Entendemos que são deveres da Cemig:</w:t>
      </w:r>
    </w:p>
    <w:p w:rsidR="007258CC" w:rsidRDefault="007258CC" w:rsidP="007258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Disponibilizar cópia física dos Laudos Ensaios Físico-Químicos em Óleo Isolante segundo os critérios da Norma ABNT NBR 13882, que seguirá juntamente com a documentação (Envelope de Emergência), entregue ao motorista transportador;</w:t>
      </w:r>
    </w:p>
    <w:p w:rsidR="00A727AE" w:rsidRPr="00427919" w:rsidRDefault="00A727AE" w:rsidP="007258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Emissão do MTRP - Manifesto para Transporte de Resíduo Perigoso, bem como o Envelope de Emergência e a Ficha de Emergência- correspondente a cada carregamento;</w:t>
      </w:r>
    </w:p>
    <w:p w:rsidR="007258CC" w:rsidRPr="007258CC" w:rsidRDefault="007258CC" w:rsidP="007258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27919">
        <w:rPr>
          <w:rFonts w:ascii="Arial" w:hAnsi="Arial" w:cs="Arial"/>
          <w:sz w:val="16"/>
          <w:szCs w:val="16"/>
        </w:rPr>
        <w:t>Dispor de pessoal em número e qualificação compatíveis</w:t>
      </w:r>
      <w:r w:rsidRPr="007258CC">
        <w:rPr>
          <w:rFonts w:ascii="Arial" w:hAnsi="Arial" w:cs="Arial"/>
          <w:sz w:val="16"/>
          <w:szCs w:val="16"/>
        </w:rPr>
        <w:t xml:space="preserve"> com a perfeita execução dos serviços, devidamente trajados, treinados e portando credenciais e os Equipamentos de Proteção Individual - EPI necessários, conforme definido na “NR-6 – Equipamentos de Proteção Individual - Portaria n.º 3.214, de 08 de junho de 1978”;</w:t>
      </w:r>
      <w:r w:rsidR="00427919">
        <w:rPr>
          <w:rFonts w:ascii="Arial" w:hAnsi="Arial" w:cs="Arial"/>
          <w:sz w:val="16"/>
          <w:szCs w:val="16"/>
        </w:rPr>
        <w:t xml:space="preserve"> </w:t>
      </w:r>
    </w:p>
    <w:p w:rsidR="00501F09" w:rsidRPr="007258CC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6"/>
        </w:rPr>
      </w:pPr>
    </w:p>
    <w:p w:rsidR="00032DA3" w:rsidRPr="007258CC" w:rsidRDefault="00032DA3" w:rsidP="00501F09">
      <w:p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Entendemos ainda que são direitos da Cemig:</w:t>
      </w:r>
    </w:p>
    <w:p w:rsidR="00032DA3" w:rsidRPr="007258CC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</w:t>
      </w:r>
      <w:r w:rsidRPr="007258CC">
        <w:rPr>
          <w:rFonts w:ascii="Arial" w:hAnsi="Arial" w:cs="Arial"/>
          <w:sz w:val="16"/>
          <w:szCs w:val="16"/>
        </w:rPr>
        <w:t xml:space="preserve">representante da CEMIG terá poderes para fiscalizar a destinação das sucatas e resíduos, e especialmente para: </w:t>
      </w:r>
    </w:p>
    <w:p w:rsidR="00032DA3" w:rsidRPr="007258CC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Suspender os trabalhos em qualquer etapa, sempre que considerar necessário viabilizar a sua melhor execução; </w:t>
      </w:r>
    </w:p>
    <w:p w:rsidR="00032DA3" w:rsidRPr="007258CC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Suspender qualquer tarefa ou procedimento que não se enquadre nas especificações e padrões fornecidos pela CEMIG; </w:t>
      </w:r>
    </w:p>
    <w:p w:rsidR="00032DA3" w:rsidRPr="007258CC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7258CC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Solicitar-nos </w:t>
      </w:r>
      <w:r w:rsidR="00032DA3" w:rsidRPr="007258CC">
        <w:rPr>
          <w:rFonts w:ascii="Arial" w:hAnsi="Arial" w:cs="Arial"/>
          <w:sz w:val="16"/>
          <w:szCs w:val="16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7258CC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 xml:space="preserve">Realizar, caso julgue necessário, auditorias e verificações sem prévio aviso ao arrematante. No caso de identificação de não conformidades </w:t>
      </w:r>
      <w:r w:rsidR="00DA6739" w:rsidRPr="007258CC">
        <w:rPr>
          <w:rFonts w:ascii="Arial" w:hAnsi="Arial" w:cs="Arial"/>
          <w:sz w:val="16"/>
          <w:szCs w:val="16"/>
        </w:rPr>
        <w:t xml:space="preserve">iremos </w:t>
      </w:r>
      <w:r w:rsidRPr="007258CC">
        <w:rPr>
          <w:rFonts w:ascii="Arial" w:hAnsi="Arial" w:cs="Arial"/>
          <w:sz w:val="16"/>
          <w:szCs w:val="16"/>
        </w:rPr>
        <w:t>preparar um plano de ação para as correções necessárias;</w:t>
      </w:r>
    </w:p>
    <w:p w:rsidR="00032DA3" w:rsidRPr="007258CC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258CC">
        <w:rPr>
          <w:rFonts w:ascii="Arial" w:hAnsi="Arial" w:cs="Arial"/>
          <w:sz w:val="16"/>
          <w:szCs w:val="16"/>
        </w:rPr>
        <w:t>S</w:t>
      </w:r>
      <w:r w:rsidR="00DA6739" w:rsidRPr="007258CC">
        <w:rPr>
          <w:rFonts w:ascii="Arial" w:hAnsi="Arial" w:cs="Arial"/>
          <w:sz w:val="16"/>
          <w:szCs w:val="16"/>
        </w:rPr>
        <w:t xml:space="preserve">ubmeteremos </w:t>
      </w:r>
      <w:r w:rsidR="00032DA3" w:rsidRPr="007258CC">
        <w:rPr>
          <w:rFonts w:ascii="Arial" w:hAnsi="Arial" w:cs="Arial"/>
          <w:sz w:val="16"/>
          <w:szCs w:val="16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7258CC">
        <w:rPr>
          <w:rFonts w:ascii="Arial" w:hAnsi="Arial" w:cs="Arial"/>
          <w:sz w:val="16"/>
          <w:szCs w:val="16"/>
        </w:rPr>
        <w:t xml:space="preserve">que sejamos notificados </w:t>
      </w:r>
      <w:r w:rsidR="00032DA3" w:rsidRPr="007258CC">
        <w:rPr>
          <w:rFonts w:ascii="Arial" w:hAnsi="Arial" w:cs="Arial"/>
          <w:sz w:val="16"/>
          <w:szCs w:val="16"/>
        </w:rPr>
        <w:t xml:space="preserve">oficialmente, </w:t>
      </w:r>
      <w:r w:rsidR="009F4B6B" w:rsidRPr="007258CC">
        <w:rPr>
          <w:rFonts w:ascii="Arial" w:hAnsi="Arial" w:cs="Arial"/>
          <w:sz w:val="16"/>
          <w:szCs w:val="16"/>
        </w:rPr>
        <w:t xml:space="preserve">iniciaremos </w:t>
      </w:r>
      <w:r w:rsidR="00032DA3" w:rsidRPr="007258CC">
        <w:rPr>
          <w:rFonts w:ascii="Arial" w:hAnsi="Arial" w:cs="Arial"/>
          <w:sz w:val="16"/>
          <w:szCs w:val="16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501F09" w:rsidRDefault="00501F09" w:rsidP="00501F09">
      <w:pPr>
        <w:jc w:val="both"/>
        <w:rPr>
          <w:rFonts w:ascii="Arial" w:hAnsi="Arial" w:cs="Arial"/>
        </w:rPr>
      </w:pPr>
    </w:p>
    <w:p w:rsidR="00702B31" w:rsidRDefault="00702B31" w:rsidP="00501F09">
      <w:pPr>
        <w:jc w:val="both"/>
        <w:rPr>
          <w:rFonts w:ascii="Arial" w:hAnsi="Arial" w:cs="Arial"/>
        </w:rPr>
      </w:pPr>
    </w:p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</w:p>
    <w:p w:rsidR="000B7336" w:rsidRPr="000B7336" w:rsidRDefault="000B7336" w:rsidP="000B7336">
      <w:pPr>
        <w:jc w:val="both"/>
        <w:rPr>
          <w:rFonts w:ascii="Arial" w:hAnsi="Arial" w:cs="Arial"/>
          <w:b/>
          <w:sz w:val="20"/>
          <w:szCs w:val="20"/>
        </w:rPr>
      </w:pPr>
      <w:permStart w:id="1984520337" w:edGrp="everyone"/>
      <w:r w:rsidRPr="000B7336">
        <w:rPr>
          <w:rFonts w:ascii="Arial" w:hAnsi="Arial" w:cs="Arial"/>
          <w:b/>
          <w:sz w:val="20"/>
          <w:szCs w:val="20"/>
        </w:rPr>
        <w:t>Cidade, XX de XXXXXX de 20XX</w:t>
      </w:r>
    </w:p>
    <w:permEnd w:id="1984520337"/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</w:p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  <w:r w:rsidRPr="000B7336">
        <w:rPr>
          <w:rFonts w:ascii="Arial" w:hAnsi="Arial" w:cs="Arial"/>
          <w:sz w:val="20"/>
          <w:szCs w:val="20"/>
        </w:rPr>
        <w:t xml:space="preserve">Nome da Empresa: </w:t>
      </w:r>
      <w:permStart w:id="797518004" w:edGrp="everyone"/>
      <w:r w:rsidRPr="000B7336">
        <w:rPr>
          <w:rFonts w:ascii="Arial" w:hAnsi="Arial" w:cs="Arial"/>
          <w:b/>
          <w:sz w:val="20"/>
          <w:szCs w:val="20"/>
        </w:rPr>
        <w:t>Digite aqui o nome da empresa</w:t>
      </w:r>
      <w:permEnd w:id="797518004"/>
    </w:p>
    <w:p w:rsidR="000B7336" w:rsidRPr="000B7336" w:rsidRDefault="000B7336" w:rsidP="000B7336">
      <w:pPr>
        <w:jc w:val="both"/>
        <w:rPr>
          <w:rFonts w:ascii="Arial" w:hAnsi="Arial" w:cs="Arial"/>
          <w:b/>
          <w:sz w:val="20"/>
          <w:szCs w:val="20"/>
        </w:rPr>
      </w:pPr>
      <w:r w:rsidRPr="000B7336">
        <w:rPr>
          <w:rFonts w:ascii="Arial" w:hAnsi="Arial" w:cs="Arial"/>
          <w:sz w:val="20"/>
          <w:szCs w:val="20"/>
        </w:rPr>
        <w:t xml:space="preserve">CNPJ: </w:t>
      </w:r>
      <w:permStart w:id="221113" w:edGrp="everyone"/>
      <w:r w:rsidRPr="000B7336">
        <w:rPr>
          <w:rFonts w:ascii="Arial" w:hAnsi="Arial" w:cs="Arial"/>
          <w:b/>
          <w:sz w:val="20"/>
          <w:szCs w:val="20"/>
        </w:rPr>
        <w:t xml:space="preserve">Digite aqui o CNPJ da empresa </w:t>
      </w:r>
      <w:permEnd w:id="221113"/>
    </w:p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</w:p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  <w:r w:rsidRPr="000B7336">
        <w:rPr>
          <w:rFonts w:ascii="Arial" w:hAnsi="Arial" w:cs="Arial"/>
          <w:sz w:val="20"/>
          <w:szCs w:val="20"/>
        </w:rPr>
        <w:t xml:space="preserve">Nome do Representante Legal: </w:t>
      </w:r>
      <w:permStart w:id="1530996523" w:edGrp="everyone"/>
      <w:r w:rsidRPr="000B7336">
        <w:rPr>
          <w:rFonts w:ascii="Arial" w:hAnsi="Arial" w:cs="Arial"/>
          <w:b/>
          <w:sz w:val="20"/>
          <w:szCs w:val="20"/>
        </w:rPr>
        <w:t>Digite aqui o nome do Representante Legal que assinará o documento</w:t>
      </w:r>
      <w:permEnd w:id="1530996523"/>
    </w:p>
    <w:p w:rsidR="000B7336" w:rsidRPr="000B7336" w:rsidRDefault="000B7336" w:rsidP="000B7336">
      <w:pPr>
        <w:jc w:val="both"/>
        <w:rPr>
          <w:rFonts w:ascii="Arial" w:hAnsi="Arial" w:cs="Arial"/>
          <w:sz w:val="20"/>
          <w:szCs w:val="20"/>
        </w:rPr>
      </w:pPr>
      <w:r w:rsidRPr="000B7336">
        <w:rPr>
          <w:rFonts w:ascii="Arial" w:hAnsi="Arial" w:cs="Arial"/>
          <w:sz w:val="20"/>
          <w:szCs w:val="20"/>
        </w:rPr>
        <w:t xml:space="preserve">CPF: </w:t>
      </w:r>
      <w:permStart w:id="1724910471" w:edGrp="everyone"/>
      <w:r w:rsidRPr="000B7336">
        <w:rPr>
          <w:rFonts w:ascii="Arial" w:hAnsi="Arial" w:cs="Arial"/>
          <w:b/>
          <w:sz w:val="20"/>
          <w:szCs w:val="20"/>
        </w:rPr>
        <w:t>Digite aqui o CPF do Representante Legal que assinará o documento</w:t>
      </w:r>
      <w:permEnd w:id="1724910471"/>
    </w:p>
    <w:p w:rsidR="004E384C" w:rsidRDefault="004E384C" w:rsidP="00501F09">
      <w:pPr>
        <w:jc w:val="both"/>
        <w:rPr>
          <w:rFonts w:ascii="Arial" w:hAnsi="Arial" w:cs="Arial"/>
          <w:sz w:val="20"/>
          <w:szCs w:val="20"/>
        </w:rPr>
      </w:pPr>
    </w:p>
    <w:p w:rsid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7258CC" w:rsidRPr="00702B31" w:rsidRDefault="007258CC" w:rsidP="00501F09">
      <w:pPr>
        <w:jc w:val="both"/>
        <w:rPr>
          <w:rFonts w:ascii="Arial" w:hAnsi="Arial" w:cs="Arial"/>
          <w:sz w:val="20"/>
          <w:szCs w:val="20"/>
        </w:rPr>
      </w:pPr>
    </w:p>
    <w:p w:rsidR="00BB0FDB" w:rsidRPr="00702B31" w:rsidRDefault="004E384C" w:rsidP="00702B31">
      <w:pPr>
        <w:jc w:val="right"/>
        <w:rPr>
          <w:rFonts w:ascii="Arial" w:hAnsi="Arial" w:cs="Arial"/>
          <w:sz w:val="20"/>
          <w:szCs w:val="20"/>
        </w:rPr>
      </w:pPr>
      <w:r w:rsidRPr="00702B31">
        <w:rPr>
          <w:rFonts w:ascii="Arial" w:hAnsi="Arial" w:cs="Arial"/>
          <w:sz w:val="20"/>
          <w:szCs w:val="20"/>
        </w:rPr>
        <w:t xml:space="preserve">Assinatura do Representante Legal: </w:t>
      </w:r>
      <w:r w:rsidR="00702B31" w:rsidRPr="00702B31">
        <w:rPr>
          <w:rFonts w:ascii="Arial" w:hAnsi="Arial" w:cs="Arial"/>
          <w:sz w:val="20"/>
          <w:szCs w:val="20"/>
        </w:rPr>
        <w:t>_______</w:t>
      </w:r>
      <w:r w:rsidRPr="00702B31">
        <w:rPr>
          <w:rFonts w:ascii="Arial" w:hAnsi="Arial" w:cs="Arial"/>
          <w:sz w:val="20"/>
          <w:szCs w:val="20"/>
        </w:rPr>
        <w:t>______________________</w:t>
      </w:r>
    </w:p>
    <w:sectPr w:rsidR="00BB0FDB" w:rsidRPr="00702B31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49" w:rsidRDefault="00D85E49">
      <w:r>
        <w:separator/>
      </w:r>
    </w:p>
  </w:endnote>
  <w:endnote w:type="continuationSeparator" w:id="0">
    <w:p w:rsidR="00D85E49" w:rsidRDefault="00D85E49">
      <w:r>
        <w:continuationSeparator/>
      </w:r>
    </w:p>
  </w:endnote>
  <w:endnote w:type="continuationNotice" w:id="1">
    <w:p w:rsidR="00D85E49" w:rsidRDefault="00D85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8E3CA3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AL018 – Rev. Inicial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A3" w:rsidRDefault="008E3C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49" w:rsidRDefault="00D85E49">
      <w:r>
        <w:separator/>
      </w:r>
    </w:p>
  </w:footnote>
  <w:footnote w:type="continuationSeparator" w:id="0">
    <w:p w:rsidR="00D85E49" w:rsidRDefault="00D85E49">
      <w:r>
        <w:continuationSeparator/>
      </w:r>
    </w:p>
  </w:footnote>
  <w:footnote w:type="continuationNotice" w:id="1">
    <w:p w:rsidR="00D85E49" w:rsidRDefault="00D85E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0"/>
      <w:gridCol w:w="1684"/>
      <w:gridCol w:w="2372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7258CC" w:rsidP="007258CC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Cs w:val="26"/>
            </w:rPr>
            <w:t>Resíduos Oleoso</w:t>
          </w:r>
          <w:r w:rsidR="004E384C" w:rsidRPr="004E384C">
            <w:rPr>
              <w:rFonts w:ascii="Arial" w:hAnsi="Arial" w:cs="Arial"/>
              <w:b/>
              <w:szCs w:val="26"/>
            </w:rPr>
            <w:t>s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5C0A95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5C0A95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57E07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A3" w:rsidRDefault="008E3C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4C5D"/>
    <w:multiLevelType w:val="hybridMultilevel"/>
    <w:tmpl w:val="8A464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FE0"/>
    <w:multiLevelType w:val="hybridMultilevel"/>
    <w:tmpl w:val="19BCA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+LC4HN1mKwUESJSlaQsAgyj1oEMtU1cRQEnK1gPpJa9xbGjDyWb9Le16mLWgIXcKy7lsO2dao9jiETDeyoGCw==" w:salt="pPdXYxEYLOgs/0u+wpCLO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336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6FDD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91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94A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255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6FA"/>
    <w:rsid w:val="005B7C27"/>
    <w:rsid w:val="005C0A95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411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0C06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8CC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5E45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3CA3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394C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27AE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716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A30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0FE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823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5C2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82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798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E42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5E49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CA3"/>
    <w:rsid w:val="00E41FDC"/>
    <w:rsid w:val="00E43522"/>
    <w:rsid w:val="00E4448F"/>
    <w:rsid w:val="00E44B8E"/>
    <w:rsid w:val="00E45585"/>
    <w:rsid w:val="00E4577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3ECC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99F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6AF31FD-0A2A-41FB-ACE7-C0826A5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4CED-98F7-478C-B446-F780FFFA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1490</Words>
  <Characters>8708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10178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7</cp:revision>
  <cp:lastPrinted>2018-05-25T14:18:00Z</cp:lastPrinted>
  <dcterms:created xsi:type="dcterms:W3CDTF">2018-08-30T13:15:00Z</dcterms:created>
  <dcterms:modified xsi:type="dcterms:W3CDTF">2019-02-22T14:39:00Z</dcterms:modified>
  <cp:category>Público</cp:category>
  <cp:version>01</cp:version>
</cp:coreProperties>
</file>