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C54A" w14:textId="77777777" w:rsidR="005900B8" w:rsidRPr="00781D7D" w:rsidRDefault="005900B8" w:rsidP="7C18BAE6">
      <w:pPr>
        <w:pStyle w:val="NormalWeb"/>
        <w:spacing w:line="360" w:lineRule="auto"/>
        <w:jc w:val="both"/>
        <w:rPr>
          <w:color w:val="7F7F7F" w:themeColor="text1" w:themeTint="80"/>
        </w:rPr>
      </w:pPr>
    </w:p>
    <w:p w14:paraId="2F55CE0A" w14:textId="47533129" w:rsidR="008F360E" w:rsidRPr="00781D7D" w:rsidRDefault="005900B8" w:rsidP="7C18BAE6">
      <w:pPr>
        <w:pStyle w:val="NormalWeb"/>
        <w:spacing w:line="360" w:lineRule="auto"/>
        <w:jc w:val="both"/>
        <w:rPr>
          <w:color w:val="7F7F7F" w:themeColor="text1" w:themeTint="80"/>
        </w:rPr>
      </w:pPr>
      <w:r w:rsidRPr="00781D7D">
        <w:rPr>
          <w:color w:val="7F7F7F" w:themeColor="text1" w:themeTint="80"/>
        </w:rPr>
        <w:t>Carta aberta aos consumidores de energia de Minas Gerais</w:t>
      </w:r>
    </w:p>
    <w:p w14:paraId="5DDE8AE5" w14:textId="77777777" w:rsidR="008F360E" w:rsidRPr="00781D7D" w:rsidRDefault="008F360E" w:rsidP="7C18BAE6">
      <w:pPr>
        <w:pStyle w:val="NormalWeb"/>
        <w:spacing w:line="360" w:lineRule="auto"/>
        <w:jc w:val="both"/>
        <w:rPr>
          <w:color w:val="404040" w:themeColor="text1" w:themeTint="BF"/>
        </w:rPr>
      </w:pPr>
    </w:p>
    <w:p w14:paraId="301103CF" w14:textId="1BB0F25B" w:rsidR="00B673A0" w:rsidRPr="00781D7D" w:rsidRDefault="50E89661" w:rsidP="008F360E">
      <w:pPr>
        <w:pStyle w:val="NormalWeb"/>
        <w:spacing w:line="360" w:lineRule="auto"/>
        <w:ind w:firstLine="708"/>
        <w:jc w:val="both"/>
        <w:rPr>
          <w:color w:val="404040" w:themeColor="text1" w:themeTint="BF"/>
        </w:rPr>
      </w:pPr>
      <w:r w:rsidRPr="00781D7D">
        <w:rPr>
          <w:color w:val="404040" w:themeColor="text1" w:themeTint="BF"/>
        </w:rPr>
        <w:t xml:space="preserve">O Conselho de Consumidores da </w:t>
      </w:r>
      <w:r w:rsidR="008F360E" w:rsidRPr="00781D7D">
        <w:rPr>
          <w:color w:val="404040" w:themeColor="text1" w:themeTint="BF"/>
        </w:rPr>
        <w:t>CEMIG</w:t>
      </w:r>
      <w:r w:rsidRPr="00781D7D">
        <w:rPr>
          <w:color w:val="404040" w:themeColor="text1" w:themeTint="BF"/>
        </w:rPr>
        <w:t xml:space="preserve"> quer desenhar sua atuação nos próximos anos com a missão de atacar alguns pontos prioritários.</w:t>
      </w:r>
    </w:p>
    <w:p w14:paraId="1DBED6B7" w14:textId="7445E9F4" w:rsidR="00B673A0" w:rsidRPr="00781D7D" w:rsidRDefault="50E89661" w:rsidP="008F360E">
      <w:pPr>
        <w:pStyle w:val="NormalWeb"/>
        <w:spacing w:line="360" w:lineRule="auto"/>
        <w:ind w:firstLine="708"/>
        <w:jc w:val="both"/>
        <w:rPr>
          <w:color w:val="404040" w:themeColor="text1" w:themeTint="BF"/>
        </w:rPr>
      </w:pPr>
      <w:r w:rsidRPr="00781D7D">
        <w:rPr>
          <w:color w:val="404040" w:themeColor="text1" w:themeTint="BF"/>
        </w:rPr>
        <w:t xml:space="preserve">A primeira ação envolve a participação conjunta da Frente Nacional dos Consumidores de Energia, que reúne </w:t>
      </w:r>
      <w:r w:rsidR="39D4A3C3" w:rsidRPr="00781D7D">
        <w:rPr>
          <w:color w:val="404040" w:themeColor="text1" w:themeTint="BF"/>
        </w:rPr>
        <w:t>dez</w:t>
      </w:r>
      <w:r w:rsidRPr="00781D7D">
        <w:rPr>
          <w:color w:val="404040" w:themeColor="text1" w:themeTint="BF"/>
        </w:rPr>
        <w:t xml:space="preserve"> entidades de defesa dos Consumidores e </w:t>
      </w:r>
      <w:r w:rsidR="5A82312A" w:rsidRPr="00781D7D">
        <w:rPr>
          <w:color w:val="404040" w:themeColor="text1" w:themeTint="BF"/>
        </w:rPr>
        <w:t>cinco</w:t>
      </w:r>
      <w:r w:rsidRPr="00781D7D">
        <w:rPr>
          <w:color w:val="404040" w:themeColor="text1" w:themeTint="BF"/>
        </w:rPr>
        <w:t xml:space="preserve"> associações do setor elétrico </w:t>
      </w:r>
      <w:r w:rsidR="7E520BCC" w:rsidRPr="00781D7D">
        <w:rPr>
          <w:color w:val="404040" w:themeColor="text1" w:themeTint="BF"/>
        </w:rPr>
        <w:t>que atuará na</w:t>
      </w:r>
      <w:r w:rsidRPr="00781D7D">
        <w:rPr>
          <w:color w:val="404040" w:themeColor="text1" w:themeTint="BF"/>
        </w:rPr>
        <w:t xml:space="preserve"> recuperação da governança institucional do setor elétrico, com destaque </w:t>
      </w:r>
      <w:r w:rsidR="777CACBE" w:rsidRPr="00781D7D">
        <w:rPr>
          <w:color w:val="404040" w:themeColor="text1" w:themeTint="BF"/>
        </w:rPr>
        <w:t>na extinção de</w:t>
      </w:r>
      <w:r w:rsidRPr="00781D7D">
        <w:rPr>
          <w:color w:val="404040" w:themeColor="text1" w:themeTint="BF"/>
        </w:rPr>
        <w:t xml:space="preserve"> duas distorções emanadas do Congresso: </w:t>
      </w:r>
      <w:r w:rsidR="4613BCFF" w:rsidRPr="00781D7D">
        <w:rPr>
          <w:color w:val="404040" w:themeColor="text1" w:themeTint="BF"/>
        </w:rPr>
        <w:t>“</w:t>
      </w:r>
      <w:r w:rsidRPr="00781D7D">
        <w:rPr>
          <w:color w:val="404040" w:themeColor="text1" w:themeTint="BF"/>
        </w:rPr>
        <w:t>jabutis</w:t>
      </w:r>
      <w:r w:rsidR="3D9F48E1" w:rsidRPr="00781D7D">
        <w:rPr>
          <w:color w:val="404040" w:themeColor="text1" w:themeTint="BF"/>
        </w:rPr>
        <w:t>”</w:t>
      </w:r>
      <w:r w:rsidRPr="00781D7D">
        <w:rPr>
          <w:color w:val="404040" w:themeColor="text1" w:themeTint="BF"/>
        </w:rPr>
        <w:t xml:space="preserve"> de parlamentares</w:t>
      </w:r>
      <w:r w:rsidR="70532E77" w:rsidRPr="00781D7D">
        <w:rPr>
          <w:color w:val="404040" w:themeColor="text1" w:themeTint="BF"/>
        </w:rPr>
        <w:t xml:space="preserve"> </w:t>
      </w:r>
      <w:r w:rsidR="20226968" w:rsidRPr="00781D7D">
        <w:rPr>
          <w:color w:val="404040" w:themeColor="text1" w:themeTint="BF"/>
        </w:rPr>
        <w:t xml:space="preserve">e </w:t>
      </w:r>
      <w:r w:rsidRPr="00781D7D">
        <w:rPr>
          <w:color w:val="404040" w:themeColor="text1" w:themeTint="BF"/>
        </w:rPr>
        <w:t>projetos de decreto legislativo</w:t>
      </w:r>
      <w:r w:rsidR="1B529529" w:rsidRPr="00781D7D">
        <w:rPr>
          <w:color w:val="404040" w:themeColor="text1" w:themeTint="BF"/>
        </w:rPr>
        <w:t>,</w:t>
      </w:r>
      <w:r w:rsidRPr="00781D7D">
        <w:rPr>
          <w:color w:val="404040" w:themeColor="text1" w:themeTint="BF"/>
        </w:rPr>
        <w:t xml:space="preserve"> impostos por congressistas</w:t>
      </w:r>
      <w:r w:rsidR="42A7B08E" w:rsidRPr="00781D7D">
        <w:rPr>
          <w:color w:val="404040" w:themeColor="text1" w:themeTint="BF"/>
        </w:rPr>
        <w:t>.</w:t>
      </w:r>
    </w:p>
    <w:p w14:paraId="7BD26065" w14:textId="3C64A184" w:rsidR="00B673A0" w:rsidRPr="00781D7D" w:rsidRDefault="50E89661" w:rsidP="008F360E">
      <w:pPr>
        <w:pStyle w:val="NormalWeb"/>
        <w:spacing w:line="360" w:lineRule="auto"/>
        <w:ind w:firstLine="708"/>
        <w:jc w:val="both"/>
        <w:rPr>
          <w:color w:val="404040" w:themeColor="text1" w:themeTint="BF"/>
        </w:rPr>
      </w:pPr>
      <w:r w:rsidRPr="00781D7D">
        <w:rPr>
          <w:color w:val="404040" w:themeColor="text1" w:themeTint="BF"/>
        </w:rPr>
        <w:t xml:space="preserve">A segunda </w:t>
      </w:r>
      <w:r w:rsidR="003320AE">
        <w:rPr>
          <w:color w:val="404040" w:themeColor="text1" w:themeTint="BF"/>
        </w:rPr>
        <w:t>iniciativa</w:t>
      </w:r>
      <w:r w:rsidRPr="00781D7D">
        <w:rPr>
          <w:color w:val="404040" w:themeColor="text1" w:themeTint="BF"/>
        </w:rPr>
        <w:t xml:space="preserve"> a ser priorizada pelo Conselho é o esforço para a desoneração estrutural das tarifas</w:t>
      </w:r>
      <w:r w:rsidR="0CDCDDD4" w:rsidRPr="00781D7D">
        <w:rPr>
          <w:color w:val="404040" w:themeColor="text1" w:themeTint="BF"/>
        </w:rPr>
        <w:t>.</w:t>
      </w:r>
      <w:r w:rsidRPr="00781D7D">
        <w:rPr>
          <w:color w:val="404040" w:themeColor="text1" w:themeTint="BF"/>
        </w:rPr>
        <w:t xml:space="preserve"> </w:t>
      </w:r>
      <w:r w:rsidR="719674DA" w:rsidRPr="00781D7D">
        <w:rPr>
          <w:color w:val="404040" w:themeColor="text1" w:themeTint="BF"/>
        </w:rPr>
        <w:t>Para esse fim</w:t>
      </w:r>
      <w:r w:rsidRPr="00781D7D">
        <w:rPr>
          <w:color w:val="404040" w:themeColor="text1" w:themeTint="BF"/>
        </w:rPr>
        <w:t xml:space="preserve">, </w:t>
      </w:r>
      <w:r w:rsidR="7982457E" w:rsidRPr="00781D7D">
        <w:rPr>
          <w:color w:val="404040" w:themeColor="text1" w:themeTint="BF"/>
        </w:rPr>
        <w:t xml:space="preserve">será </w:t>
      </w:r>
      <w:r w:rsidRPr="00781D7D">
        <w:rPr>
          <w:color w:val="404040" w:themeColor="text1" w:themeTint="BF"/>
        </w:rPr>
        <w:t>importante comunicar</w:t>
      </w:r>
      <w:r w:rsidR="00AC23FA">
        <w:rPr>
          <w:color w:val="404040" w:themeColor="text1" w:themeTint="BF"/>
        </w:rPr>
        <w:t>,</w:t>
      </w:r>
      <w:r w:rsidRPr="00781D7D">
        <w:rPr>
          <w:color w:val="404040" w:themeColor="text1" w:themeTint="BF"/>
        </w:rPr>
        <w:t xml:space="preserve"> de forma didática </w:t>
      </w:r>
      <w:r w:rsidR="47DCC4EE" w:rsidRPr="00781D7D">
        <w:rPr>
          <w:color w:val="404040" w:themeColor="text1" w:themeTint="BF"/>
        </w:rPr>
        <w:t>a</w:t>
      </w:r>
      <w:r w:rsidRPr="00781D7D">
        <w:rPr>
          <w:color w:val="404040" w:themeColor="text1" w:themeTint="BF"/>
        </w:rPr>
        <w:t>os brasileiros</w:t>
      </w:r>
      <w:r w:rsidR="00AC23FA">
        <w:rPr>
          <w:color w:val="404040" w:themeColor="text1" w:themeTint="BF"/>
        </w:rPr>
        <w:t>,</w:t>
      </w:r>
      <w:r w:rsidRPr="00781D7D">
        <w:rPr>
          <w:color w:val="404040" w:themeColor="text1" w:themeTint="BF"/>
        </w:rPr>
        <w:t xml:space="preserve"> os principais elementos de pressão tarifária e</w:t>
      </w:r>
      <w:r w:rsidR="68F6AA9D" w:rsidRPr="00781D7D">
        <w:rPr>
          <w:color w:val="404040" w:themeColor="text1" w:themeTint="BF"/>
        </w:rPr>
        <w:t xml:space="preserve"> </w:t>
      </w:r>
      <w:r w:rsidRPr="00781D7D">
        <w:rPr>
          <w:color w:val="404040" w:themeColor="text1" w:themeTint="BF"/>
        </w:rPr>
        <w:t xml:space="preserve">apoiar </w:t>
      </w:r>
      <w:r w:rsidR="009772B7">
        <w:rPr>
          <w:color w:val="404040" w:themeColor="text1" w:themeTint="BF"/>
        </w:rPr>
        <w:t xml:space="preserve">as </w:t>
      </w:r>
      <w:r w:rsidRPr="00781D7D">
        <w:rPr>
          <w:color w:val="404040" w:themeColor="text1" w:themeTint="BF"/>
        </w:rPr>
        <w:t>iniciativas de redução sustentável da conta de luz</w:t>
      </w:r>
      <w:r w:rsidR="4D2887A7" w:rsidRPr="00781D7D">
        <w:rPr>
          <w:color w:val="404040" w:themeColor="text1" w:themeTint="BF"/>
        </w:rPr>
        <w:t>.</w:t>
      </w:r>
    </w:p>
    <w:p w14:paraId="6222F4EB" w14:textId="61C4ABB1" w:rsidR="00B673A0" w:rsidRPr="00781D7D" w:rsidRDefault="50E89661" w:rsidP="008F360E">
      <w:pPr>
        <w:pStyle w:val="NormalWeb"/>
        <w:spacing w:line="360" w:lineRule="auto"/>
        <w:ind w:firstLine="708"/>
        <w:jc w:val="both"/>
        <w:rPr>
          <w:color w:val="404040" w:themeColor="text1" w:themeTint="BF"/>
        </w:rPr>
      </w:pPr>
      <w:r w:rsidRPr="00781D7D">
        <w:rPr>
          <w:color w:val="404040" w:themeColor="text1" w:themeTint="BF"/>
        </w:rPr>
        <w:t>Após as grandes vitórias d</w:t>
      </w:r>
      <w:r w:rsidR="005A2609">
        <w:rPr>
          <w:color w:val="404040" w:themeColor="text1" w:themeTint="BF"/>
        </w:rPr>
        <w:t>e queda</w:t>
      </w:r>
      <w:r w:rsidRPr="00781D7D">
        <w:rPr>
          <w:color w:val="404040" w:themeColor="text1" w:themeTint="BF"/>
        </w:rPr>
        <w:t xml:space="preserve"> da alíquota e da base do ICMS sobre eletricidade, os próximos </w:t>
      </w:r>
      <w:r w:rsidR="123CE0D1" w:rsidRPr="00781D7D">
        <w:rPr>
          <w:color w:val="404040" w:themeColor="text1" w:themeTint="BF"/>
        </w:rPr>
        <w:t>esforços</w:t>
      </w:r>
      <w:r w:rsidR="1E03449F" w:rsidRPr="00781D7D">
        <w:rPr>
          <w:color w:val="404040" w:themeColor="text1" w:themeTint="BF"/>
        </w:rPr>
        <w:t xml:space="preserve"> do Conselho </w:t>
      </w:r>
      <w:r w:rsidRPr="00781D7D">
        <w:rPr>
          <w:color w:val="404040" w:themeColor="text1" w:themeTint="BF"/>
        </w:rPr>
        <w:t>ser</w:t>
      </w:r>
      <w:r w:rsidR="64C94812" w:rsidRPr="00781D7D">
        <w:rPr>
          <w:color w:val="404040" w:themeColor="text1" w:themeTint="BF"/>
        </w:rPr>
        <w:t>ão</w:t>
      </w:r>
      <w:r w:rsidR="0AA99C77" w:rsidRPr="00781D7D">
        <w:rPr>
          <w:color w:val="404040" w:themeColor="text1" w:themeTint="BF"/>
        </w:rPr>
        <w:t xml:space="preserve"> para r</w:t>
      </w:r>
      <w:r w:rsidRPr="00781D7D">
        <w:rPr>
          <w:color w:val="404040" w:themeColor="text1" w:themeTint="BF"/>
        </w:rPr>
        <w:t>edu</w:t>
      </w:r>
      <w:r w:rsidR="4D651F02" w:rsidRPr="00781D7D">
        <w:rPr>
          <w:color w:val="404040" w:themeColor="text1" w:themeTint="BF"/>
        </w:rPr>
        <w:t>zir os</w:t>
      </w:r>
      <w:r w:rsidRPr="00781D7D">
        <w:rPr>
          <w:color w:val="404040" w:themeColor="text1" w:themeTint="BF"/>
        </w:rPr>
        <w:t xml:space="preserve"> subsídios</w:t>
      </w:r>
      <w:r w:rsidR="2723D4D7" w:rsidRPr="00781D7D">
        <w:rPr>
          <w:color w:val="404040" w:themeColor="text1" w:themeTint="BF"/>
        </w:rPr>
        <w:t>,</w:t>
      </w:r>
      <w:r w:rsidRPr="00781D7D">
        <w:rPr>
          <w:color w:val="404040" w:themeColor="text1" w:themeTint="BF"/>
        </w:rPr>
        <w:t xml:space="preserve"> injustificáveis</w:t>
      </w:r>
      <w:r w:rsidR="0C03878B" w:rsidRPr="00781D7D">
        <w:rPr>
          <w:color w:val="404040" w:themeColor="text1" w:themeTint="BF"/>
        </w:rPr>
        <w:t>,</w:t>
      </w:r>
      <w:r w:rsidRPr="00781D7D">
        <w:rPr>
          <w:color w:val="404040" w:themeColor="text1" w:themeTint="BF"/>
        </w:rPr>
        <w:t xml:space="preserve"> embutidos no encargo CDE (Conta de Desenvolvimento Energético)</w:t>
      </w:r>
      <w:r w:rsidR="0E446551" w:rsidRPr="00781D7D">
        <w:rPr>
          <w:color w:val="404040" w:themeColor="text1" w:themeTint="BF"/>
        </w:rPr>
        <w:t>,</w:t>
      </w:r>
      <w:r w:rsidR="3814DFAA" w:rsidRPr="00781D7D">
        <w:rPr>
          <w:color w:val="404040" w:themeColor="text1" w:themeTint="BF"/>
        </w:rPr>
        <w:t xml:space="preserve"> como</w:t>
      </w:r>
      <w:r w:rsidR="3F5AC83D" w:rsidRPr="00781D7D">
        <w:rPr>
          <w:color w:val="404040" w:themeColor="text1" w:themeTint="BF"/>
        </w:rPr>
        <w:t xml:space="preserve"> também</w:t>
      </w:r>
      <w:r w:rsidR="4266FBB5" w:rsidRPr="00781D7D">
        <w:rPr>
          <w:color w:val="404040" w:themeColor="text1" w:themeTint="BF"/>
        </w:rPr>
        <w:t xml:space="preserve"> para</w:t>
      </w:r>
      <w:r w:rsidR="54A48182" w:rsidRPr="00781D7D">
        <w:rPr>
          <w:color w:val="404040" w:themeColor="text1" w:themeTint="BF"/>
        </w:rPr>
        <w:t xml:space="preserve"> diminuir </w:t>
      </w:r>
      <w:r w:rsidRPr="00781D7D">
        <w:rPr>
          <w:color w:val="404040" w:themeColor="text1" w:themeTint="BF"/>
        </w:rPr>
        <w:t>a tarifa de Itaipu, cuja renegociação acontecerá em 2023</w:t>
      </w:r>
      <w:r w:rsidR="689DCB9B" w:rsidRPr="00781D7D">
        <w:rPr>
          <w:color w:val="404040" w:themeColor="text1" w:themeTint="BF"/>
        </w:rPr>
        <w:t>,</w:t>
      </w:r>
      <w:r w:rsidRPr="00781D7D">
        <w:rPr>
          <w:color w:val="404040" w:themeColor="text1" w:themeTint="BF"/>
        </w:rPr>
        <w:t xml:space="preserve"> com o Paraguai. </w:t>
      </w:r>
    </w:p>
    <w:p w14:paraId="1201ED66" w14:textId="437BD0FA" w:rsidR="00B673A0" w:rsidRPr="00781D7D" w:rsidRDefault="63114689" w:rsidP="008F360E">
      <w:pPr>
        <w:pStyle w:val="NormalWeb"/>
        <w:spacing w:line="360" w:lineRule="auto"/>
        <w:ind w:firstLine="708"/>
        <w:jc w:val="both"/>
        <w:rPr>
          <w:color w:val="404040" w:themeColor="text1" w:themeTint="BF"/>
        </w:rPr>
      </w:pPr>
      <w:r w:rsidRPr="00781D7D">
        <w:rPr>
          <w:color w:val="404040" w:themeColor="text1" w:themeTint="BF"/>
        </w:rPr>
        <w:t xml:space="preserve">Cabe salientar que merece aplausos </w:t>
      </w:r>
      <w:r w:rsidR="50E89661" w:rsidRPr="00781D7D">
        <w:rPr>
          <w:color w:val="404040" w:themeColor="text1" w:themeTint="BF"/>
        </w:rPr>
        <w:t>a recente decisão da diretoria da Aneel de revogar as outorgas de quatro termelétricas</w:t>
      </w:r>
      <w:r w:rsidR="541A5CE4" w:rsidRPr="00781D7D">
        <w:rPr>
          <w:color w:val="404040" w:themeColor="text1" w:themeTint="BF"/>
        </w:rPr>
        <w:t>,</w:t>
      </w:r>
      <w:r w:rsidR="50E89661" w:rsidRPr="00781D7D">
        <w:rPr>
          <w:color w:val="404040" w:themeColor="text1" w:themeTint="BF"/>
        </w:rPr>
        <w:t xml:space="preserve"> que não cumpriram as obrigações assumidas no leilão emergencial de outubro de 2021 (Procedimento Competitivo Simplificado)</w:t>
      </w:r>
      <w:r w:rsidR="6CA3DD1D" w:rsidRPr="00781D7D">
        <w:rPr>
          <w:color w:val="404040" w:themeColor="text1" w:themeTint="BF"/>
        </w:rPr>
        <w:t xml:space="preserve">, </w:t>
      </w:r>
      <w:r w:rsidR="50E89661" w:rsidRPr="00781D7D">
        <w:rPr>
          <w:color w:val="404040" w:themeColor="text1" w:themeTint="BF"/>
        </w:rPr>
        <w:t>que poderiam</w:t>
      </w:r>
      <w:r w:rsidR="34F09F7D" w:rsidRPr="00781D7D">
        <w:rPr>
          <w:color w:val="404040" w:themeColor="text1" w:themeTint="BF"/>
        </w:rPr>
        <w:t xml:space="preserve"> ter </w:t>
      </w:r>
      <w:r w:rsidR="50E89661" w:rsidRPr="00781D7D">
        <w:rPr>
          <w:color w:val="404040" w:themeColor="text1" w:themeTint="BF"/>
        </w:rPr>
        <w:t>custa</w:t>
      </w:r>
      <w:r w:rsidR="39C3919B" w:rsidRPr="00781D7D">
        <w:rPr>
          <w:color w:val="404040" w:themeColor="text1" w:themeTint="BF"/>
        </w:rPr>
        <w:t>do</w:t>
      </w:r>
      <w:r w:rsidR="50E89661" w:rsidRPr="00781D7D">
        <w:rPr>
          <w:color w:val="404040" w:themeColor="text1" w:themeTint="BF"/>
        </w:rPr>
        <w:t xml:space="preserve"> </w:t>
      </w:r>
      <w:r w:rsidR="17A23462" w:rsidRPr="00781D7D">
        <w:rPr>
          <w:color w:val="404040" w:themeColor="text1" w:themeTint="BF"/>
        </w:rPr>
        <w:t xml:space="preserve">bilhões de reais </w:t>
      </w:r>
      <w:r w:rsidR="50E89661" w:rsidRPr="00781D7D">
        <w:rPr>
          <w:color w:val="404040" w:themeColor="text1" w:themeTint="BF"/>
        </w:rPr>
        <w:t>aos consumidores</w:t>
      </w:r>
      <w:r w:rsidR="26D6E3BA" w:rsidRPr="00781D7D">
        <w:rPr>
          <w:color w:val="404040" w:themeColor="text1" w:themeTint="BF"/>
        </w:rPr>
        <w:t>, sem necessidade</w:t>
      </w:r>
      <w:r w:rsidR="7042F75C" w:rsidRPr="00781D7D">
        <w:rPr>
          <w:color w:val="404040" w:themeColor="text1" w:themeTint="BF"/>
        </w:rPr>
        <w:t>.</w:t>
      </w:r>
    </w:p>
    <w:p w14:paraId="4538DA50" w14:textId="046D2690" w:rsidR="00B673A0" w:rsidRPr="00781D7D" w:rsidRDefault="7042F75C" w:rsidP="008F360E">
      <w:pPr>
        <w:pStyle w:val="NormalWeb"/>
        <w:spacing w:line="360" w:lineRule="auto"/>
        <w:ind w:firstLine="708"/>
        <w:jc w:val="both"/>
        <w:rPr>
          <w:color w:val="404040" w:themeColor="text1" w:themeTint="BF"/>
        </w:rPr>
      </w:pPr>
      <w:r w:rsidRPr="00781D7D">
        <w:rPr>
          <w:color w:val="404040" w:themeColor="text1" w:themeTint="BF"/>
        </w:rPr>
        <w:t>A</w:t>
      </w:r>
      <w:r w:rsidR="50E89661" w:rsidRPr="00781D7D">
        <w:rPr>
          <w:color w:val="404040" w:themeColor="text1" w:themeTint="BF"/>
        </w:rPr>
        <w:t xml:space="preserve"> terceira ação</w:t>
      </w:r>
      <w:r w:rsidR="7A2F0EB9" w:rsidRPr="00781D7D">
        <w:rPr>
          <w:color w:val="404040" w:themeColor="text1" w:themeTint="BF"/>
        </w:rPr>
        <w:t xml:space="preserve"> será</w:t>
      </w:r>
      <w:r w:rsidR="50E89661" w:rsidRPr="00781D7D">
        <w:rPr>
          <w:color w:val="404040" w:themeColor="text1" w:themeTint="BF"/>
        </w:rPr>
        <w:t xml:space="preserve"> </w:t>
      </w:r>
      <w:r w:rsidR="74C7EA4B" w:rsidRPr="00781D7D">
        <w:rPr>
          <w:color w:val="404040" w:themeColor="text1" w:themeTint="BF"/>
        </w:rPr>
        <w:t xml:space="preserve">para </w:t>
      </w:r>
      <w:r w:rsidR="50E89661" w:rsidRPr="00781D7D">
        <w:rPr>
          <w:color w:val="404040" w:themeColor="text1" w:themeTint="BF"/>
        </w:rPr>
        <w:t>garantir que a abertura do mercado varejista</w:t>
      </w:r>
      <w:r w:rsidR="291C76B8" w:rsidRPr="00781D7D">
        <w:rPr>
          <w:color w:val="404040" w:themeColor="text1" w:themeTint="BF"/>
        </w:rPr>
        <w:t xml:space="preserve"> ao </w:t>
      </w:r>
      <w:r w:rsidR="00854E2B">
        <w:rPr>
          <w:color w:val="404040" w:themeColor="text1" w:themeTint="BF"/>
        </w:rPr>
        <w:t>“</w:t>
      </w:r>
      <w:r w:rsidR="291C76B8" w:rsidRPr="00781D7D">
        <w:rPr>
          <w:color w:val="404040" w:themeColor="text1" w:themeTint="BF"/>
        </w:rPr>
        <w:t>Mercado livre de Energia</w:t>
      </w:r>
      <w:r w:rsidR="00854E2B">
        <w:rPr>
          <w:color w:val="404040" w:themeColor="text1" w:themeTint="BF"/>
        </w:rPr>
        <w:t>”</w:t>
      </w:r>
      <w:r w:rsidR="50E89661" w:rsidRPr="00781D7D">
        <w:rPr>
          <w:color w:val="404040" w:themeColor="text1" w:themeTint="BF"/>
        </w:rPr>
        <w:t xml:space="preserve"> seja bem planejada e equilibrada, evitando uma disputa </w:t>
      </w:r>
      <w:r w:rsidR="009D7891">
        <w:rPr>
          <w:color w:val="404040" w:themeColor="text1" w:themeTint="BF"/>
        </w:rPr>
        <w:t>injusta</w:t>
      </w:r>
      <w:r w:rsidR="50E89661" w:rsidRPr="00781D7D">
        <w:rPr>
          <w:color w:val="404040" w:themeColor="text1" w:themeTint="BF"/>
        </w:rPr>
        <w:t xml:space="preserve"> entre </w:t>
      </w:r>
      <w:r w:rsidR="272596C7" w:rsidRPr="00781D7D">
        <w:rPr>
          <w:color w:val="404040" w:themeColor="text1" w:themeTint="BF"/>
        </w:rPr>
        <w:t>esse novo mercado e</w:t>
      </w:r>
      <w:r w:rsidR="16257837" w:rsidRPr="00781D7D">
        <w:rPr>
          <w:color w:val="404040" w:themeColor="text1" w:themeTint="BF"/>
        </w:rPr>
        <w:t xml:space="preserve"> o</w:t>
      </w:r>
      <w:r w:rsidR="272596C7" w:rsidRPr="00781D7D">
        <w:rPr>
          <w:color w:val="404040" w:themeColor="text1" w:themeTint="BF"/>
        </w:rPr>
        <w:t xml:space="preserve"> </w:t>
      </w:r>
      <w:r w:rsidR="50E89661" w:rsidRPr="00781D7D">
        <w:rPr>
          <w:color w:val="404040" w:themeColor="text1" w:themeTint="BF"/>
        </w:rPr>
        <w:t>mercado regulado</w:t>
      </w:r>
      <w:r w:rsidR="147605BD" w:rsidRPr="00781D7D">
        <w:rPr>
          <w:color w:val="404040" w:themeColor="text1" w:themeTint="BF"/>
        </w:rPr>
        <w:t>, já consolidado no Brasil.</w:t>
      </w:r>
    </w:p>
    <w:p w14:paraId="4B90CEA2" w14:textId="2E55705C" w:rsidR="00B673A0" w:rsidRPr="00781D7D" w:rsidRDefault="147605BD" w:rsidP="008F360E">
      <w:pPr>
        <w:pStyle w:val="NormalWeb"/>
        <w:spacing w:line="360" w:lineRule="auto"/>
        <w:ind w:firstLine="708"/>
        <w:jc w:val="both"/>
        <w:rPr>
          <w:color w:val="404040" w:themeColor="text1" w:themeTint="BF"/>
        </w:rPr>
      </w:pPr>
      <w:r w:rsidRPr="00781D7D">
        <w:rPr>
          <w:color w:val="404040" w:themeColor="text1" w:themeTint="BF"/>
        </w:rPr>
        <w:t>A</w:t>
      </w:r>
      <w:r w:rsidR="50E89661" w:rsidRPr="00781D7D">
        <w:rPr>
          <w:color w:val="404040" w:themeColor="text1" w:themeTint="BF"/>
        </w:rPr>
        <w:t xml:space="preserve"> quarta </w:t>
      </w:r>
      <w:r w:rsidR="5C37B6EF" w:rsidRPr="00781D7D">
        <w:rPr>
          <w:color w:val="404040" w:themeColor="text1" w:themeTint="BF"/>
        </w:rPr>
        <w:t xml:space="preserve">será no sentido de </w:t>
      </w:r>
      <w:r w:rsidR="41DC9456" w:rsidRPr="00781D7D">
        <w:rPr>
          <w:color w:val="404040" w:themeColor="text1" w:themeTint="BF"/>
        </w:rPr>
        <w:t xml:space="preserve">ter </w:t>
      </w:r>
      <w:r w:rsidR="17B06D7C" w:rsidRPr="00781D7D">
        <w:rPr>
          <w:color w:val="404040" w:themeColor="text1" w:themeTint="BF"/>
        </w:rPr>
        <w:t>o</w:t>
      </w:r>
      <w:r w:rsidR="50E89661" w:rsidRPr="00781D7D">
        <w:rPr>
          <w:color w:val="404040" w:themeColor="text1" w:themeTint="BF"/>
        </w:rPr>
        <w:t xml:space="preserve"> Conselho</w:t>
      </w:r>
      <w:r w:rsidR="31F45722" w:rsidRPr="00781D7D">
        <w:rPr>
          <w:color w:val="404040" w:themeColor="text1" w:themeTint="BF"/>
        </w:rPr>
        <w:t xml:space="preserve"> de Consumidores da Cemig</w:t>
      </w:r>
      <w:r w:rsidR="50E89661" w:rsidRPr="00781D7D">
        <w:rPr>
          <w:color w:val="404040" w:themeColor="text1" w:themeTint="BF"/>
        </w:rPr>
        <w:t xml:space="preserve"> mais próximo aos c</w:t>
      </w:r>
      <w:r w:rsidR="687D356F" w:rsidRPr="00781D7D">
        <w:rPr>
          <w:color w:val="404040" w:themeColor="text1" w:themeTint="BF"/>
        </w:rPr>
        <w:t>lientes,</w:t>
      </w:r>
      <w:r w:rsidR="50E89661" w:rsidRPr="00781D7D">
        <w:rPr>
          <w:color w:val="404040" w:themeColor="text1" w:themeTint="BF"/>
        </w:rPr>
        <w:t xml:space="preserve"> na defesa de políticas neutras</w:t>
      </w:r>
      <w:r w:rsidR="51C62395" w:rsidRPr="00781D7D">
        <w:rPr>
          <w:color w:val="404040" w:themeColor="text1" w:themeTint="BF"/>
        </w:rPr>
        <w:t xml:space="preserve">, ou seja, </w:t>
      </w:r>
      <w:r w:rsidR="5069FC1D" w:rsidRPr="00781D7D">
        <w:rPr>
          <w:color w:val="404040" w:themeColor="text1" w:themeTint="BF"/>
        </w:rPr>
        <w:t>n</w:t>
      </w:r>
      <w:r w:rsidR="50E89661" w:rsidRPr="00781D7D">
        <w:rPr>
          <w:color w:val="404040" w:themeColor="text1" w:themeTint="BF"/>
        </w:rPr>
        <w:t xml:space="preserve">ão importa a fonte de </w:t>
      </w:r>
      <w:r w:rsidR="50E89661" w:rsidRPr="00781D7D">
        <w:rPr>
          <w:color w:val="404040" w:themeColor="text1" w:themeTint="BF"/>
        </w:rPr>
        <w:lastRenderedPageBreak/>
        <w:t>energia</w:t>
      </w:r>
      <w:r w:rsidR="719BBBA6" w:rsidRPr="00781D7D">
        <w:rPr>
          <w:color w:val="404040" w:themeColor="text1" w:themeTint="BF"/>
        </w:rPr>
        <w:t xml:space="preserve"> se</w:t>
      </w:r>
      <w:r w:rsidR="50E89661" w:rsidRPr="00781D7D">
        <w:rPr>
          <w:color w:val="404040" w:themeColor="text1" w:themeTint="BF"/>
        </w:rPr>
        <w:t xml:space="preserve"> os requisitos</w:t>
      </w:r>
      <w:r w:rsidR="27EE1EB4" w:rsidRPr="00781D7D">
        <w:rPr>
          <w:color w:val="404040" w:themeColor="text1" w:themeTint="BF"/>
        </w:rPr>
        <w:t xml:space="preserve"> </w:t>
      </w:r>
      <w:r w:rsidR="6A0EDD6F" w:rsidRPr="00781D7D">
        <w:rPr>
          <w:color w:val="404040" w:themeColor="text1" w:themeTint="BF"/>
        </w:rPr>
        <w:t xml:space="preserve">forem </w:t>
      </w:r>
      <w:r w:rsidR="50E89661" w:rsidRPr="00781D7D">
        <w:rPr>
          <w:color w:val="404040" w:themeColor="text1" w:themeTint="BF"/>
        </w:rPr>
        <w:t>atendidos, sempre por meio de competição isonômica. A modernização das redes de transmissão e distribuição via regulamentação para adoção de redes inteligentes</w:t>
      </w:r>
      <w:r w:rsidR="50B7FE04" w:rsidRPr="00781D7D">
        <w:rPr>
          <w:color w:val="404040" w:themeColor="text1" w:themeTint="BF"/>
        </w:rPr>
        <w:t xml:space="preserve">, </w:t>
      </w:r>
      <w:r w:rsidR="50E89661" w:rsidRPr="00781D7D">
        <w:rPr>
          <w:color w:val="404040" w:themeColor="text1" w:themeTint="BF"/>
        </w:rPr>
        <w:t>o fomento da medição digital e os ganhos com a descarbonização</w:t>
      </w:r>
      <w:r w:rsidR="263F1325" w:rsidRPr="00781D7D">
        <w:rPr>
          <w:color w:val="404040" w:themeColor="text1" w:themeTint="BF"/>
        </w:rPr>
        <w:t xml:space="preserve"> </w:t>
      </w:r>
      <w:r w:rsidR="5C238B59" w:rsidRPr="00781D7D">
        <w:rPr>
          <w:color w:val="404040" w:themeColor="text1" w:themeTint="BF"/>
        </w:rPr>
        <w:t xml:space="preserve">devem </w:t>
      </w:r>
      <w:r w:rsidR="50E89661" w:rsidRPr="00781D7D">
        <w:rPr>
          <w:color w:val="404040" w:themeColor="text1" w:themeTint="BF"/>
        </w:rPr>
        <w:t>traze</w:t>
      </w:r>
      <w:r w:rsidR="00C7DD9F" w:rsidRPr="00781D7D">
        <w:rPr>
          <w:color w:val="404040" w:themeColor="text1" w:themeTint="BF"/>
        </w:rPr>
        <w:t>r</w:t>
      </w:r>
      <w:r w:rsidR="50E89661" w:rsidRPr="00781D7D">
        <w:rPr>
          <w:color w:val="404040" w:themeColor="text1" w:themeTint="BF"/>
        </w:rPr>
        <w:t xml:space="preserve"> melhoria para o consumidor</w:t>
      </w:r>
      <w:r w:rsidR="00A91CF1" w:rsidRPr="00781D7D">
        <w:rPr>
          <w:color w:val="404040" w:themeColor="text1" w:themeTint="BF"/>
        </w:rPr>
        <w:t>,</w:t>
      </w:r>
      <w:r w:rsidR="50E89661" w:rsidRPr="00781D7D">
        <w:rPr>
          <w:color w:val="404040" w:themeColor="text1" w:themeTint="BF"/>
        </w:rPr>
        <w:t xml:space="preserve"> sem onerar as tarifas.</w:t>
      </w:r>
    </w:p>
    <w:p w14:paraId="4EFC88CE" w14:textId="45C6D661" w:rsidR="00B673A0" w:rsidRPr="00781D7D" w:rsidRDefault="06A39603" w:rsidP="008F360E">
      <w:pPr>
        <w:pStyle w:val="NormalWeb"/>
        <w:spacing w:line="360" w:lineRule="auto"/>
        <w:ind w:firstLine="708"/>
        <w:jc w:val="both"/>
        <w:rPr>
          <w:color w:val="404040" w:themeColor="text1" w:themeTint="BF"/>
        </w:rPr>
      </w:pPr>
      <w:r w:rsidRPr="00781D7D">
        <w:rPr>
          <w:color w:val="404040" w:themeColor="text1" w:themeTint="BF"/>
        </w:rPr>
        <w:t xml:space="preserve">O Conselho acredita que esse conjunto de ações </w:t>
      </w:r>
      <w:r w:rsidR="005F5252" w:rsidRPr="00781D7D">
        <w:rPr>
          <w:color w:val="404040" w:themeColor="text1" w:themeTint="BF"/>
        </w:rPr>
        <w:t>constr</w:t>
      </w:r>
      <w:r w:rsidR="005F5252">
        <w:rPr>
          <w:color w:val="404040" w:themeColor="text1" w:themeTint="BF"/>
        </w:rPr>
        <w:t>ó</w:t>
      </w:r>
      <w:r w:rsidR="005F5252" w:rsidRPr="00781D7D">
        <w:rPr>
          <w:color w:val="404040" w:themeColor="text1" w:themeTint="BF"/>
        </w:rPr>
        <w:t>i</w:t>
      </w:r>
      <w:r w:rsidR="50E89661" w:rsidRPr="00781D7D">
        <w:rPr>
          <w:color w:val="404040" w:themeColor="text1" w:themeTint="BF"/>
        </w:rPr>
        <w:t xml:space="preserve"> um caminho seguro para o setor de energia elétrica</w:t>
      </w:r>
      <w:r w:rsidR="142BE8BD" w:rsidRPr="00781D7D">
        <w:rPr>
          <w:color w:val="404040" w:themeColor="text1" w:themeTint="BF"/>
        </w:rPr>
        <w:t xml:space="preserve"> brasileiro e</w:t>
      </w:r>
      <w:r w:rsidR="50E89661" w:rsidRPr="00781D7D">
        <w:rPr>
          <w:color w:val="404040" w:themeColor="text1" w:themeTint="BF"/>
        </w:rPr>
        <w:t xml:space="preserve"> </w:t>
      </w:r>
      <w:r w:rsidR="0046681C">
        <w:rPr>
          <w:color w:val="404040" w:themeColor="text1" w:themeTint="BF"/>
        </w:rPr>
        <w:t xml:space="preserve">que ele </w:t>
      </w:r>
      <w:r w:rsidR="00296A71">
        <w:rPr>
          <w:color w:val="404040" w:themeColor="text1" w:themeTint="BF"/>
        </w:rPr>
        <w:t>beneficia</w:t>
      </w:r>
      <w:r w:rsidR="3C13A276" w:rsidRPr="00781D7D">
        <w:rPr>
          <w:color w:val="404040" w:themeColor="text1" w:themeTint="BF"/>
        </w:rPr>
        <w:t>,</w:t>
      </w:r>
      <w:r w:rsidR="50E89661" w:rsidRPr="00781D7D">
        <w:rPr>
          <w:color w:val="404040" w:themeColor="text1" w:themeTint="BF"/>
        </w:rPr>
        <w:t xml:space="preserve"> principalmente</w:t>
      </w:r>
      <w:r w:rsidR="43D8B5E9" w:rsidRPr="00781D7D">
        <w:rPr>
          <w:color w:val="404040" w:themeColor="text1" w:themeTint="BF"/>
        </w:rPr>
        <w:t>,</w:t>
      </w:r>
      <w:r w:rsidR="50E89661" w:rsidRPr="00781D7D">
        <w:rPr>
          <w:color w:val="404040" w:themeColor="text1" w:themeTint="BF"/>
        </w:rPr>
        <w:t xml:space="preserve"> os consumidores</w:t>
      </w:r>
      <w:r w:rsidR="4218144D" w:rsidRPr="00781D7D">
        <w:rPr>
          <w:color w:val="404040" w:themeColor="text1" w:themeTint="BF"/>
        </w:rPr>
        <w:t xml:space="preserve">. Além disso, </w:t>
      </w:r>
      <w:r w:rsidR="50E89661" w:rsidRPr="00781D7D">
        <w:rPr>
          <w:color w:val="404040" w:themeColor="text1" w:themeTint="BF"/>
        </w:rPr>
        <w:t>permit</w:t>
      </w:r>
      <w:r w:rsidR="6FB5C60E" w:rsidRPr="00781D7D">
        <w:rPr>
          <w:color w:val="404040" w:themeColor="text1" w:themeTint="BF"/>
        </w:rPr>
        <w:t>e que</w:t>
      </w:r>
      <w:r w:rsidR="50E89661" w:rsidRPr="00781D7D">
        <w:rPr>
          <w:color w:val="404040" w:themeColor="text1" w:themeTint="BF"/>
        </w:rPr>
        <w:t xml:space="preserve"> as distribuidoras de energia se estabele</w:t>
      </w:r>
      <w:r w:rsidR="0E140B4B" w:rsidRPr="00781D7D">
        <w:rPr>
          <w:color w:val="404040" w:themeColor="text1" w:themeTint="BF"/>
        </w:rPr>
        <w:t>çam</w:t>
      </w:r>
      <w:r w:rsidR="50E89661" w:rsidRPr="00781D7D">
        <w:rPr>
          <w:color w:val="404040" w:themeColor="text1" w:themeTint="BF"/>
        </w:rPr>
        <w:t xml:space="preserve"> cada vez mais fortes</w:t>
      </w:r>
      <w:r w:rsidR="4F5D1BFC" w:rsidRPr="00781D7D">
        <w:rPr>
          <w:color w:val="404040" w:themeColor="text1" w:themeTint="BF"/>
        </w:rPr>
        <w:t>, atuando</w:t>
      </w:r>
      <w:r w:rsidR="50E89661" w:rsidRPr="00781D7D">
        <w:rPr>
          <w:color w:val="404040" w:themeColor="text1" w:themeTint="BF"/>
        </w:rPr>
        <w:t xml:space="preserve"> com base </w:t>
      </w:r>
      <w:r w:rsidR="62A3941F" w:rsidRPr="00781D7D">
        <w:rPr>
          <w:color w:val="404040" w:themeColor="text1" w:themeTint="BF"/>
        </w:rPr>
        <w:t>na</w:t>
      </w:r>
      <w:r w:rsidR="50E89661" w:rsidRPr="00781D7D">
        <w:rPr>
          <w:color w:val="404040" w:themeColor="text1" w:themeTint="BF"/>
        </w:rPr>
        <w:t xml:space="preserve"> transparência, </w:t>
      </w:r>
      <w:r w:rsidR="2BEF8FAC" w:rsidRPr="00781D7D">
        <w:rPr>
          <w:color w:val="404040" w:themeColor="text1" w:themeTint="BF"/>
        </w:rPr>
        <w:t xml:space="preserve">no </w:t>
      </w:r>
      <w:r w:rsidR="50E89661" w:rsidRPr="00781D7D">
        <w:rPr>
          <w:color w:val="404040" w:themeColor="text1" w:themeTint="BF"/>
        </w:rPr>
        <w:t xml:space="preserve">rigor técnico e </w:t>
      </w:r>
      <w:r w:rsidR="0E8EBAA1" w:rsidRPr="00781D7D">
        <w:rPr>
          <w:color w:val="404040" w:themeColor="text1" w:themeTint="BF"/>
        </w:rPr>
        <w:t xml:space="preserve">nos </w:t>
      </w:r>
      <w:r w:rsidR="50E89661" w:rsidRPr="00781D7D">
        <w:rPr>
          <w:color w:val="404040" w:themeColor="text1" w:themeTint="BF"/>
        </w:rPr>
        <w:t>bloqueio</w:t>
      </w:r>
      <w:r w:rsidR="19BA4A7F" w:rsidRPr="00781D7D">
        <w:rPr>
          <w:color w:val="404040" w:themeColor="text1" w:themeTint="BF"/>
        </w:rPr>
        <w:t>s</w:t>
      </w:r>
      <w:r w:rsidR="50E89661" w:rsidRPr="00781D7D">
        <w:rPr>
          <w:color w:val="404040" w:themeColor="text1" w:themeTint="BF"/>
        </w:rPr>
        <w:t xml:space="preserve"> dos grandes interesses políticos e econômicos do setor. </w:t>
      </w:r>
    </w:p>
    <w:p w14:paraId="4B340B34" w14:textId="51D47F93" w:rsidR="008F360E" w:rsidRPr="00781D7D" w:rsidRDefault="008F360E" w:rsidP="008F360E">
      <w:pPr>
        <w:pStyle w:val="NormalWeb"/>
        <w:spacing w:line="360" w:lineRule="auto"/>
        <w:rPr>
          <w:color w:val="404040" w:themeColor="text1" w:themeTint="BF"/>
          <w:sz w:val="22"/>
          <w:szCs w:val="22"/>
        </w:rPr>
      </w:pPr>
    </w:p>
    <w:p w14:paraId="602EFA93" w14:textId="77777777" w:rsidR="00BC5915" w:rsidRPr="00781D7D" w:rsidRDefault="00BC5915" w:rsidP="008F360E">
      <w:pPr>
        <w:pStyle w:val="NormalWeb"/>
        <w:spacing w:line="360" w:lineRule="auto"/>
        <w:rPr>
          <w:color w:val="404040" w:themeColor="text1" w:themeTint="BF"/>
          <w:sz w:val="22"/>
          <w:szCs w:val="22"/>
        </w:rPr>
      </w:pPr>
    </w:p>
    <w:p w14:paraId="6BE08CD7" w14:textId="5501189D" w:rsidR="008F360E" w:rsidRPr="00781D7D" w:rsidRDefault="00711BE3" w:rsidP="00BC5915">
      <w:pPr>
        <w:pStyle w:val="NormalWeb"/>
        <w:spacing w:line="360" w:lineRule="auto"/>
        <w:rPr>
          <w:color w:val="404040" w:themeColor="text1" w:themeTint="BF"/>
          <w:sz w:val="22"/>
          <w:szCs w:val="22"/>
        </w:rPr>
      </w:pPr>
      <w:r w:rsidRPr="00781D7D">
        <w:rPr>
          <w:color w:val="404040" w:themeColor="text1" w:themeTint="BF"/>
          <w:sz w:val="22"/>
          <w:szCs w:val="22"/>
        </w:rPr>
        <w:t xml:space="preserve">Atenciosamente, </w:t>
      </w:r>
    </w:p>
    <w:p w14:paraId="261A1641" w14:textId="77777777" w:rsidR="00BC5915" w:rsidRPr="00781D7D" w:rsidRDefault="00BC5915" w:rsidP="00BC5915">
      <w:pPr>
        <w:pStyle w:val="NormalWeb"/>
        <w:spacing w:line="360" w:lineRule="auto"/>
        <w:rPr>
          <w:color w:val="404040" w:themeColor="text1" w:themeTint="BF"/>
          <w:sz w:val="22"/>
          <w:szCs w:val="22"/>
        </w:rPr>
      </w:pPr>
    </w:p>
    <w:p w14:paraId="316BD28B" w14:textId="005E0266" w:rsidR="008F360E" w:rsidRPr="00781D7D" w:rsidRDefault="00340E83" w:rsidP="00340E83">
      <w:pPr>
        <w:pStyle w:val="NormalWeb"/>
        <w:spacing w:line="360" w:lineRule="auto"/>
        <w:jc w:val="right"/>
        <w:rPr>
          <w:color w:val="404040" w:themeColor="text1" w:themeTint="BF"/>
        </w:rPr>
      </w:pPr>
      <w:r w:rsidRPr="00781D7D">
        <w:rPr>
          <w:color w:val="404040" w:themeColor="text1" w:themeTint="BF"/>
        </w:rPr>
        <w:t>Conselho de Consumidores da CEMIG</w:t>
      </w:r>
    </w:p>
    <w:p w14:paraId="318EB39C" w14:textId="4A8D361F" w:rsidR="00DD7EEB" w:rsidRPr="00781D7D" w:rsidRDefault="00DD7EEB" w:rsidP="00340E83">
      <w:pPr>
        <w:pStyle w:val="NormalWeb"/>
        <w:spacing w:line="360" w:lineRule="auto"/>
        <w:jc w:val="right"/>
        <w:rPr>
          <w:color w:val="404040" w:themeColor="text1" w:themeTint="BF"/>
        </w:rPr>
      </w:pPr>
    </w:p>
    <w:p w14:paraId="2030BB85" w14:textId="77777777" w:rsidR="00DD7EEB" w:rsidRPr="00781D7D" w:rsidRDefault="00DD7EEB" w:rsidP="00DD7EEB">
      <w:pPr>
        <w:pStyle w:val="NormalWeb"/>
        <w:spacing w:line="360" w:lineRule="auto"/>
        <w:jc w:val="right"/>
        <w:rPr>
          <w:color w:val="404040" w:themeColor="text1" w:themeTint="BF"/>
        </w:rPr>
      </w:pPr>
      <w:r w:rsidRPr="00781D7D">
        <w:rPr>
          <w:color w:val="404040" w:themeColor="text1" w:themeTint="BF"/>
        </w:rPr>
        <w:t>Belo Horizonte, 10 de janeiro de 2023.</w:t>
      </w:r>
    </w:p>
    <w:p w14:paraId="2662324F" w14:textId="77777777" w:rsidR="00DD7EEB" w:rsidRPr="00781D7D" w:rsidRDefault="00DD7EEB" w:rsidP="00340E83">
      <w:pPr>
        <w:pStyle w:val="NormalWeb"/>
        <w:spacing w:line="360" w:lineRule="auto"/>
        <w:jc w:val="right"/>
        <w:rPr>
          <w:color w:val="404040" w:themeColor="text1" w:themeTint="BF"/>
        </w:rPr>
      </w:pPr>
    </w:p>
    <w:p w14:paraId="5A39BBE3" w14:textId="77777777" w:rsidR="00B673A0" w:rsidRPr="00781D7D" w:rsidRDefault="00B673A0" w:rsidP="7C18BAE6">
      <w:pPr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41C8F396" w14:textId="77777777" w:rsidR="00044D5F" w:rsidRPr="00781D7D" w:rsidRDefault="00821220" w:rsidP="7C18BAE6">
      <w:pPr>
        <w:rPr>
          <w:rFonts w:ascii="Times New Roman" w:hAnsi="Times New Roman" w:cs="Times New Roman"/>
          <w:color w:val="7F7F7F" w:themeColor="text1" w:themeTint="80"/>
        </w:rPr>
      </w:pPr>
    </w:p>
    <w:sectPr w:rsidR="00044D5F" w:rsidRPr="00781D7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E432" w14:textId="77777777" w:rsidR="00821220" w:rsidRDefault="00821220" w:rsidP="006238CB">
      <w:pPr>
        <w:spacing w:after="0" w:line="240" w:lineRule="auto"/>
      </w:pPr>
      <w:r>
        <w:separator/>
      </w:r>
    </w:p>
  </w:endnote>
  <w:endnote w:type="continuationSeparator" w:id="0">
    <w:p w14:paraId="315F184E" w14:textId="77777777" w:rsidR="00821220" w:rsidRDefault="00821220" w:rsidP="0062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2648" w14:textId="6F7F44A5" w:rsidR="006238CB" w:rsidRDefault="00AC6B1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79629C" wp14:editId="362AAB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Caixa de Texto 5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F85A2" w14:textId="2D768074" w:rsidR="00AC6B1D" w:rsidRPr="00AC6B1D" w:rsidRDefault="00AC6B1D" w:rsidP="00AC6B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B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079629C">
              <v:stroke joinstyle="miter"/>
              <v:path gradientshapeok="t" o:connecttype="rect"/>
            </v:shapetype>
            <v:shape id="Caixa de Texto 5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Públic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>
              <v:fill o:detectmouseclick="t"/>
              <v:textbox style="mso-fit-shape-to-text:t" inset="0,0,20pt,15pt">
                <w:txbxContent>
                  <w:p w:rsidRPr="00AC6B1D" w:rsidR="00AC6B1D" w:rsidP="00AC6B1D" w:rsidRDefault="00AC6B1D" w14:paraId="6BBF85A2" w14:textId="2D76807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B1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1006" w14:textId="4CEC7400" w:rsidR="006238CB" w:rsidRDefault="00AC6B1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2B12E5" wp14:editId="2A7B72E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Caixa de Texto 6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0D0F6" w14:textId="164D31C8" w:rsidR="00AC6B1D" w:rsidRPr="00AC6B1D" w:rsidRDefault="00AC6B1D" w:rsidP="00AC6B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B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62B12E5">
              <v:stroke joinstyle="miter"/>
              <v:path gradientshapeok="t" o:connecttype="rect"/>
            </v:shapetype>
            <v:shape id="Caixa de Texto 6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Públic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>
              <v:fill o:detectmouseclick="t"/>
              <v:textbox style="mso-fit-shape-to-text:t" inset="0,0,20pt,15pt">
                <w:txbxContent>
                  <w:p w:rsidRPr="00AC6B1D" w:rsidR="00AC6B1D" w:rsidP="00AC6B1D" w:rsidRDefault="00AC6B1D" w14:paraId="2CB0D0F6" w14:textId="164D31C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B1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2910" w14:textId="7393CCC2" w:rsidR="006238CB" w:rsidRDefault="00AC6B1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2333C7" wp14:editId="2F9AF20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3A9ED" w14:textId="6B4ACCAD" w:rsidR="00AC6B1D" w:rsidRPr="00AC6B1D" w:rsidRDefault="00AC6B1D" w:rsidP="00AC6B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B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82333C7">
              <v:stroke joinstyle="miter"/>
              <v:path gradientshapeok="t" o:connecttype="rect"/>
            </v:shapetype>
            <v:shape id="Caixa de Texto 4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Públic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>
              <v:fill o:detectmouseclick="t"/>
              <v:textbox style="mso-fit-shape-to-text:t" inset="0,0,20pt,15pt">
                <w:txbxContent>
                  <w:p w:rsidRPr="00AC6B1D" w:rsidR="00AC6B1D" w:rsidP="00AC6B1D" w:rsidRDefault="00AC6B1D" w14:paraId="3773A9ED" w14:textId="6B4ACCA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B1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986A5" w14:textId="77777777" w:rsidR="00821220" w:rsidRDefault="00821220" w:rsidP="006238CB">
      <w:pPr>
        <w:spacing w:after="0" w:line="240" w:lineRule="auto"/>
      </w:pPr>
      <w:r>
        <w:separator/>
      </w:r>
    </w:p>
  </w:footnote>
  <w:footnote w:type="continuationSeparator" w:id="0">
    <w:p w14:paraId="7B3C663C" w14:textId="77777777" w:rsidR="00821220" w:rsidRDefault="00821220" w:rsidP="0062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94BC" w14:textId="07BBA7E4" w:rsidR="7C18BAE6" w:rsidRDefault="7C18BAE6"/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</w:tblGrid>
    <w:tr w:rsidR="008F360E" w14:paraId="47113886" w14:textId="77777777" w:rsidTr="7C18BAE6">
      <w:trPr>
        <w:trHeight w:val="300"/>
      </w:trPr>
      <w:tc>
        <w:tcPr>
          <w:tcW w:w="2830" w:type="dxa"/>
        </w:tcPr>
        <w:p w14:paraId="719F3C00" w14:textId="398B7841" w:rsidR="008F360E" w:rsidRDefault="008F360E" w:rsidP="008F360E">
          <w:pPr>
            <w:pStyle w:val="Cabealho"/>
            <w:ind w:right="-115"/>
            <w:rPr>
              <w:rFonts w:ascii="Arial" w:hAnsi="Arial" w:cs="Arial"/>
              <w:b/>
              <w:bCs/>
              <w:color w:val="666666"/>
            </w:rPr>
          </w:pPr>
          <w:r>
            <w:rPr>
              <w:noProof/>
            </w:rPr>
            <w:drawing>
              <wp:inline distT="0" distB="0" distL="0" distR="0" wp14:anchorId="722A60CE" wp14:editId="460069F0">
                <wp:extent cx="613954" cy="447675"/>
                <wp:effectExtent l="0" t="0" r="0" b="0"/>
                <wp:docPr id="569994146" name="Imagem 569994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954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A89DCC" w14:textId="475DD589" w:rsidR="7C18BAE6" w:rsidRDefault="7C18BAE6" w:rsidP="7C18B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C0"/>
    <w:rsid w:val="000C6901"/>
    <w:rsid w:val="00296A71"/>
    <w:rsid w:val="003320AE"/>
    <w:rsid w:val="00340E83"/>
    <w:rsid w:val="0046681C"/>
    <w:rsid w:val="005900B8"/>
    <w:rsid w:val="005A2609"/>
    <w:rsid w:val="005F5252"/>
    <w:rsid w:val="006238CB"/>
    <w:rsid w:val="006756C0"/>
    <w:rsid w:val="00711BE3"/>
    <w:rsid w:val="00781D7D"/>
    <w:rsid w:val="00821220"/>
    <w:rsid w:val="00854E2B"/>
    <w:rsid w:val="008F360E"/>
    <w:rsid w:val="008F7E32"/>
    <w:rsid w:val="009772B7"/>
    <w:rsid w:val="009D7891"/>
    <w:rsid w:val="00A91CF1"/>
    <w:rsid w:val="00AC23FA"/>
    <w:rsid w:val="00AC6B1D"/>
    <w:rsid w:val="00B673A0"/>
    <w:rsid w:val="00BC5915"/>
    <w:rsid w:val="00C7DD9F"/>
    <w:rsid w:val="00CE00E7"/>
    <w:rsid w:val="00DD7EEB"/>
    <w:rsid w:val="00FB616C"/>
    <w:rsid w:val="06A39603"/>
    <w:rsid w:val="06B4C0E6"/>
    <w:rsid w:val="06C78F54"/>
    <w:rsid w:val="083069C9"/>
    <w:rsid w:val="08509147"/>
    <w:rsid w:val="088E3FDC"/>
    <w:rsid w:val="09CC3A2A"/>
    <w:rsid w:val="0A283D1C"/>
    <w:rsid w:val="0AA99C77"/>
    <w:rsid w:val="0C03878B"/>
    <w:rsid w:val="0CDCDDD4"/>
    <w:rsid w:val="0D922305"/>
    <w:rsid w:val="0E140B4B"/>
    <w:rsid w:val="0E446551"/>
    <w:rsid w:val="0E8EBAA1"/>
    <w:rsid w:val="0EBFD2CB"/>
    <w:rsid w:val="0FE87533"/>
    <w:rsid w:val="103C1743"/>
    <w:rsid w:val="123CE0D1"/>
    <w:rsid w:val="142BE8BD"/>
    <w:rsid w:val="147605BD"/>
    <w:rsid w:val="14FCB9F8"/>
    <w:rsid w:val="16257837"/>
    <w:rsid w:val="169194D5"/>
    <w:rsid w:val="177CCD4A"/>
    <w:rsid w:val="17A23462"/>
    <w:rsid w:val="17B06D7C"/>
    <w:rsid w:val="19AD829C"/>
    <w:rsid w:val="19BA4A7F"/>
    <w:rsid w:val="1B529529"/>
    <w:rsid w:val="1E03449F"/>
    <w:rsid w:val="20068683"/>
    <w:rsid w:val="20226968"/>
    <w:rsid w:val="221584DD"/>
    <w:rsid w:val="260046C6"/>
    <w:rsid w:val="2614818D"/>
    <w:rsid w:val="263F1325"/>
    <w:rsid w:val="26D6E3BA"/>
    <w:rsid w:val="2723D4D7"/>
    <w:rsid w:val="272596C7"/>
    <w:rsid w:val="27EE1EB4"/>
    <w:rsid w:val="291C76B8"/>
    <w:rsid w:val="2BEF8FAC"/>
    <w:rsid w:val="2C9701B9"/>
    <w:rsid w:val="2F3175F5"/>
    <w:rsid w:val="2FCEA27B"/>
    <w:rsid w:val="31F45722"/>
    <w:rsid w:val="337BF654"/>
    <w:rsid w:val="34F09F7D"/>
    <w:rsid w:val="35116CC6"/>
    <w:rsid w:val="361E5816"/>
    <w:rsid w:val="3624BBA2"/>
    <w:rsid w:val="37D9B460"/>
    <w:rsid w:val="3814DFAA"/>
    <w:rsid w:val="397584C1"/>
    <w:rsid w:val="39C3919B"/>
    <w:rsid w:val="39D4A3C3"/>
    <w:rsid w:val="3AD8A0DC"/>
    <w:rsid w:val="3BBE81FC"/>
    <w:rsid w:val="3C13A276"/>
    <w:rsid w:val="3CEFEF15"/>
    <w:rsid w:val="3D9F48E1"/>
    <w:rsid w:val="3EFB7B76"/>
    <w:rsid w:val="3F5AC83D"/>
    <w:rsid w:val="3FAC11FF"/>
    <w:rsid w:val="3FB26BEE"/>
    <w:rsid w:val="41237291"/>
    <w:rsid w:val="41695BEF"/>
    <w:rsid w:val="41DC9456"/>
    <w:rsid w:val="4218144D"/>
    <w:rsid w:val="4266FBB5"/>
    <w:rsid w:val="42A7B08E"/>
    <w:rsid w:val="43D8B5E9"/>
    <w:rsid w:val="44DAEA7F"/>
    <w:rsid w:val="4613BCFF"/>
    <w:rsid w:val="47DCC4EE"/>
    <w:rsid w:val="4A2468C8"/>
    <w:rsid w:val="4B85FCDF"/>
    <w:rsid w:val="4BF64FB6"/>
    <w:rsid w:val="4C910F35"/>
    <w:rsid w:val="4CC868B9"/>
    <w:rsid w:val="4CE6EDEB"/>
    <w:rsid w:val="4D2887A7"/>
    <w:rsid w:val="4D651F02"/>
    <w:rsid w:val="4E82BE4C"/>
    <w:rsid w:val="4EBD9DA1"/>
    <w:rsid w:val="4F5D1BFC"/>
    <w:rsid w:val="5069FC1D"/>
    <w:rsid w:val="50B7FE04"/>
    <w:rsid w:val="50E89661"/>
    <w:rsid w:val="51C62395"/>
    <w:rsid w:val="541A5CE4"/>
    <w:rsid w:val="54A48182"/>
    <w:rsid w:val="55476C63"/>
    <w:rsid w:val="570C11E3"/>
    <w:rsid w:val="584B578A"/>
    <w:rsid w:val="59710595"/>
    <w:rsid w:val="5986C81E"/>
    <w:rsid w:val="5A82312A"/>
    <w:rsid w:val="5C238B59"/>
    <w:rsid w:val="5C37B6EF"/>
    <w:rsid w:val="5D3728E5"/>
    <w:rsid w:val="5F57C594"/>
    <w:rsid w:val="62A3941F"/>
    <w:rsid w:val="62E270EE"/>
    <w:rsid w:val="63114689"/>
    <w:rsid w:val="64C94812"/>
    <w:rsid w:val="67F3AA30"/>
    <w:rsid w:val="687D356F"/>
    <w:rsid w:val="689DCB9B"/>
    <w:rsid w:val="68F6AA9D"/>
    <w:rsid w:val="6A0EDD6F"/>
    <w:rsid w:val="6A22CBEB"/>
    <w:rsid w:val="6A61C3F5"/>
    <w:rsid w:val="6B47A515"/>
    <w:rsid w:val="6B908F53"/>
    <w:rsid w:val="6BBE9C4C"/>
    <w:rsid w:val="6C1D203F"/>
    <w:rsid w:val="6CA3DD1D"/>
    <w:rsid w:val="6D98C922"/>
    <w:rsid w:val="6FB5C60E"/>
    <w:rsid w:val="7042F75C"/>
    <w:rsid w:val="70532E77"/>
    <w:rsid w:val="710C503C"/>
    <w:rsid w:val="719674DA"/>
    <w:rsid w:val="719BBBA6"/>
    <w:rsid w:val="7253AD7D"/>
    <w:rsid w:val="74C7EA4B"/>
    <w:rsid w:val="75DA2DFE"/>
    <w:rsid w:val="775FD2E6"/>
    <w:rsid w:val="777CACBE"/>
    <w:rsid w:val="7982457E"/>
    <w:rsid w:val="79AD8BE1"/>
    <w:rsid w:val="79D63DDD"/>
    <w:rsid w:val="7A2F0EB9"/>
    <w:rsid w:val="7ABA26BF"/>
    <w:rsid w:val="7C18BAE6"/>
    <w:rsid w:val="7E52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2E12"/>
  <w15:chartTrackingRefBased/>
  <w15:docId w15:val="{F8D0439B-9120-446B-80AC-91D04BA6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3A0"/>
    <w:pPr>
      <w:spacing w:before="150" w:after="15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3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8CB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E22723030619489B9356276401B16A" ma:contentTypeVersion="15" ma:contentTypeDescription="Criar um novo documento." ma:contentTypeScope="" ma:versionID="565b3ce1409c11ddc8873da9c895caa0">
  <xsd:schema xmlns:xsd="http://www.w3.org/2001/XMLSchema" xmlns:xs="http://www.w3.org/2001/XMLSchema" xmlns:p="http://schemas.microsoft.com/office/2006/metadata/properties" xmlns:ns1="http://schemas.microsoft.com/sharepoint/v3" xmlns:ns2="7d2008be-ed13-406c-91c2-510aa6e49dda" xmlns:ns3="70240631-cdeb-48e4-8333-538ceb6ff433" targetNamespace="http://schemas.microsoft.com/office/2006/metadata/properties" ma:root="true" ma:fieldsID="55878bb91256bf6b4a44699ff971de87" ns1:_="" ns2:_="" ns3:_="">
    <xsd:import namespace="http://schemas.microsoft.com/sharepoint/v3"/>
    <xsd:import namespace="7d2008be-ed13-406c-91c2-510aa6e49dda"/>
    <xsd:import namespace="70240631-cdeb-48e4-8333-538ceb6ff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008be-ed13-406c-91c2-510aa6e4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40631-cdeb-48e4-8333-538ceb6ff4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3e55362-c4af-410f-922d-fca1ccc36d47}" ma:internalName="TaxCatchAll" ma:showField="CatchAllData" ma:web="70240631-cdeb-48e4-8333-538ceb6ff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d2008be-ed13-406c-91c2-510aa6e49dda" xsi:nil="true"/>
    <_ip_UnifiedCompliancePolicyUIAction xmlns="http://schemas.microsoft.com/sharepoint/v3" xsi:nil="true"/>
    <_ip_UnifiedCompliancePolicyProperties xmlns="http://schemas.microsoft.com/sharepoint/v3" xsi:nil="true"/>
    <SharedWithUsers xmlns="70240631-cdeb-48e4-8333-538ceb6ff433">
      <UserInfo>
        <DisplayName/>
        <AccountId xsi:nil="true"/>
        <AccountType/>
      </UserInfo>
    </SharedWithUsers>
    <TaxCatchAll xmlns="70240631-cdeb-48e4-8333-538ceb6ff433" xsi:nil="true"/>
    <lcf76f155ced4ddcb4097134ff3c332f xmlns="7d2008be-ed13-406c-91c2-510aa6e49d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80B329-4741-43E5-8D45-02D7564E3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2008be-ed13-406c-91c2-510aa6e49dda"/>
    <ds:schemaRef ds:uri="70240631-cdeb-48e4-8333-538ceb6ff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B8AEF-CF86-4857-B7C9-F5EC8A8D1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3D9EA-7EBC-4F6C-803F-CF474D2F3DB7}">
  <ds:schemaRefs>
    <ds:schemaRef ds:uri="http://schemas.microsoft.com/office/2006/metadata/properties"/>
    <ds:schemaRef ds:uri="http://schemas.microsoft.com/office/infopath/2007/PartnerControls"/>
    <ds:schemaRef ds:uri="7d2008be-ed13-406c-91c2-510aa6e49dda"/>
    <ds:schemaRef ds:uri="http://schemas.microsoft.com/sharepoint/v3"/>
    <ds:schemaRef ds:uri="70240631-cdeb-48e4-8333-538ceb6ff433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430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Ciro Mota</dc:creator>
  <cp:keywords/>
  <dc:description/>
  <cp:lastModifiedBy>PATRICIA GOMES PEREIRA</cp:lastModifiedBy>
  <cp:revision>18</cp:revision>
  <dcterms:created xsi:type="dcterms:W3CDTF">2023-01-11T13:09:00Z</dcterms:created>
  <dcterms:modified xsi:type="dcterms:W3CDTF">2023-01-11T13:58:00Z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0x01010034E22723030619489B9356276401B16A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lassificationContentMarkingFooterShapeIds">
    <vt:lpwstr>4,5,6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Classificação: Público</vt:lpwstr>
  </property>
</Properties>
</file>